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Colombo</w:t>
      </w:r>
    </w:p>
    <w:bookmarkStart w:id="20" w:name="X5b99d0b3719f966998716eeb56bf662e36d80e1"/>
    <w:p>
      <w:pPr>
        <w:pStyle w:val="Heading1"/>
      </w:pPr>
      <w:r>
        <w:t xml:space="preserve">Experiment Protocol: Urban Water Quality Assessment</w:t>
      </w:r>
    </w:p>
    <w:p>
      <w:pPr>
        <w:pStyle w:val="FirstParagraph"/>
      </w:pPr>
      <w:r>
        <w:rPr>
          <w:bCs/>
          <w:b/>
        </w:rPr>
        <w:t xml:space="preserve">Location:</w:t>
      </w:r>
      <w:r>
        <w:t xml:space="preserve"> </w:t>
      </w:r>
      <w:r>
        <w:t xml:space="preserve">Colombo, Sri Lanka</w:t>
      </w:r>
    </w:p>
    <w:p>
      <w:pPr>
        <w:pStyle w:val="BodyText"/>
      </w:pPr>
      <w:r>
        <w:rPr>
          <w:bCs/>
          <w:b/>
        </w:rPr>
        <w:t xml:space="preserve">Role:</w:t>
      </w:r>
      <w:r>
        <w:t xml:space="preserve"> </w:t>
      </w:r>
      <w:r>
        <w:t xml:space="preserve">Environmental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document outlines the standard operating procedure for an environmental experiment conducted by a qualified Environmental Engineer in the Colombo district of Sri Lanka. The primary objective is to assess the physicochemical and microbiological quality of surface water in the Kelani River estuary and adjacent drainage canals.</w:t>
      </w:r>
    </w:p>
    <w:p>
      <w:pPr>
        <w:pStyle w:val="BodyText"/>
      </w:pPr>
      <w:r>
        <w:t xml:space="preserve">As an Environmental Engineer operating in Sri Lanka Colombo, it is critical to monitor water bodies that are heavily impacted by urban runoff, industrial discharge, and monsoon-driven sedimentation. This experiment aims to quantify pollutant loads to determine compliance with the National Environmental Act of Sri Lanka. The data collected will inform remediation strategies and public health advisories.</w:t>
      </w:r>
    </w:p>
    <w:bookmarkEnd w:id="21"/>
    <w:bookmarkStart w:id="22" w:name="scope-and-site-selection"/>
    <w:p>
      <w:pPr>
        <w:pStyle w:val="Heading2"/>
      </w:pPr>
      <w:r>
        <w:t xml:space="preserve">2. Scope and Site Selection</w:t>
      </w:r>
    </w:p>
    <w:p>
      <w:pPr>
        <w:pStyle w:val="FirstParagraph"/>
      </w:pPr>
      <w:r>
        <w:t xml:space="preserve">The scope of this experiment is limited to surface water sampling within the Colombo Municipal Council boundaries. The Environmental Engineer must select three distinct sampling stations to ensure a representative analysis of the urban water matrix:</w:t>
      </w:r>
    </w:p>
    <w:p>
      <w:pPr>
        <w:numPr>
          <w:ilvl w:val="0"/>
          <w:numId w:val="1001"/>
        </w:numPr>
        <w:pStyle w:val="Compact"/>
      </w:pPr>
      <w:r>
        <w:rPr>
          <w:bCs/>
          <w:b/>
        </w:rPr>
        <w:t xml:space="preserve">Station A (Upstream):</w:t>
      </w:r>
      <w:r>
        <w:t xml:space="preserve"> </w:t>
      </w:r>
      <w:r>
        <w:t xml:space="preserve">Near the Kelani Bridge, representing pre-urban impact levels.</w:t>
      </w:r>
    </w:p>
    <w:p>
      <w:pPr>
        <w:numPr>
          <w:ilvl w:val="0"/>
          <w:numId w:val="1001"/>
        </w:numPr>
        <w:pStyle w:val="Compact"/>
      </w:pPr>
      <w:r>
        <w:rPr>
          <w:bCs/>
          <w:b/>
        </w:rPr>
        <w:t xml:space="preserve">Station B (Midstream):</w:t>
      </w:r>
      <w:r>
        <w:t xml:space="preserve"> </w:t>
      </w:r>
      <w:r>
        <w:t xml:space="preserve">Near the Pettah district, representing high-density commercial and residential runoff.</w:t>
      </w:r>
    </w:p>
    <w:p>
      <w:pPr>
        <w:numPr>
          <w:ilvl w:val="0"/>
          <w:numId w:val="1001"/>
        </w:numPr>
        <w:pStyle w:val="Compact"/>
      </w:pPr>
      <w:r>
        <w:rPr>
          <w:bCs/>
          <w:b/>
        </w:rPr>
        <w:t xml:space="preserve">Station C (Downstream):</w:t>
      </w:r>
      <w:r>
        <w:t xml:space="preserve"> </w:t>
      </w:r>
      <w:r>
        <w:t xml:space="preserve">Near the Colombo Port, representing potential industrial and maritime influence.</w:t>
      </w:r>
    </w:p>
    <w:p>
      <w:pPr>
        <w:pStyle w:val="FirstParagraph"/>
      </w:pPr>
      <w:r>
        <w:t xml:space="preserve">The Environmental Engineer is responsible for verifying the GPS coordinates of each station to ensure reproducibility of the experiment.</w:t>
      </w:r>
    </w:p>
    <w:bookmarkEnd w:id="22"/>
    <w:bookmarkStart w:id="23" w:name="safety-and-regulatory-compliance"/>
    <w:p>
      <w:pPr>
        <w:pStyle w:val="Heading2"/>
      </w:pPr>
      <w:r>
        <w:t xml:space="preserve">3. Safety and Regulatory Compliance</w:t>
      </w:r>
    </w:p>
    <w:p>
      <w:pPr>
        <w:pStyle w:val="FirstParagraph"/>
      </w:pPr>
      <w:r>
        <w:t xml:space="preserve">Before commencing the experiment, the Environmental Engineer must adhere to strict safety protocols. Working in Sri Lanka Colombo involves specific hazards, including traffic congestion, uneven terrain, and potential exposure to pathogens.</w:t>
      </w:r>
    </w:p>
    <w:p>
      <w:pPr>
        <w:pStyle w:val="BodyText"/>
      </w:pPr>
      <w:r>
        <w:t xml:space="preserve">Warning:</w:t>
      </w:r>
      <w:r>
        <w:t xml:space="preserve"> </w:t>
      </w:r>
      <w:r>
        <w:t xml:space="preserve">All personnel must wear Personal Protective Equipment (PPE), including nitrile gloves, safety goggles, and waterproof boots. Furthermore, the Environmental Engineer must obtain necessary permits from the Central Environmental Authority (CEA) of Sri Lanka prior to sampling.</w:t>
      </w:r>
    </w:p>
    <w:bookmarkEnd w:id="23"/>
    <w:bookmarkStart w:id="24" w:name="materials-and-equipment"/>
    <w:p>
      <w:pPr>
        <w:pStyle w:val="Heading2"/>
      </w:pPr>
      <w:r>
        <w:t xml:space="preserve">4. Materials and Equipment</w:t>
      </w:r>
    </w:p>
    <w:p>
      <w:pPr>
        <w:pStyle w:val="FirstParagraph"/>
      </w:pPr>
      <w:r>
        <w:t xml:space="preserve">The following equipment is required for this experiment. The Environmental Engineer must ensure all glassware is acid-washed and sterilized to prevent cross-contamination.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Sampling Bottles</w:t>
            </w:r>
          </w:p>
        </w:tc>
        <w:tc>
          <w:tcPr/>
          <w:p>
            <w:pPr>
              <w:pStyle w:val="Compact"/>
              <w:jc w:val="left"/>
            </w:pPr>
            <w:r>
              <w:t xml:space="preserve">1L HDPE, amber glass for organics</w:t>
            </w:r>
          </w:p>
        </w:tc>
        <w:tc>
          <w:tcPr/>
          <w:p>
            <w:pPr>
              <w:pStyle w:val="Compact"/>
              <w:jc w:val="left"/>
            </w:pPr>
            <w:r>
              <w:t xml:space="preserve">30</w:t>
            </w:r>
          </w:p>
        </w:tc>
      </w:tr>
      <w:tr>
        <w:tc>
          <w:tcPr/>
          <w:p>
            <w:pPr>
              <w:pStyle w:val="Compact"/>
              <w:jc w:val="left"/>
            </w:pPr>
            <w:r>
              <w:t xml:space="preserve">pH Meter</w:t>
            </w:r>
          </w:p>
        </w:tc>
        <w:tc>
          <w:tcPr/>
          <w:p>
            <w:pPr>
              <w:pStyle w:val="Compact"/>
              <w:jc w:val="left"/>
            </w:pPr>
            <w:r>
              <w:t xml:space="preserve">Calibrated, waterproof probe</w:t>
            </w:r>
          </w:p>
        </w:tc>
        <w:tc>
          <w:tcPr/>
          <w:p>
            <w:pPr>
              <w:pStyle w:val="Compact"/>
              <w:jc w:val="left"/>
            </w:pPr>
            <w:r>
              <w:t xml:space="preserve">1</w:t>
            </w:r>
          </w:p>
        </w:tc>
      </w:tr>
      <w:tr>
        <w:tc>
          <w:tcPr/>
          <w:p>
            <w:pPr>
              <w:pStyle w:val="Compact"/>
              <w:jc w:val="left"/>
            </w:pPr>
            <w:r>
              <w:t xml:space="preserve">Dissolved Oxygen (DO) Meter</w:t>
            </w:r>
          </w:p>
        </w:tc>
        <w:tc>
          <w:tcPr/>
          <w:p>
            <w:pPr>
              <w:pStyle w:val="Compact"/>
              <w:jc w:val="left"/>
            </w:pPr>
            <w:r>
              <w:t xml:space="preserve">Optical sensor preferred</w:t>
            </w:r>
          </w:p>
        </w:tc>
        <w:tc>
          <w:tcPr/>
          <w:p>
            <w:pPr>
              <w:pStyle w:val="Compact"/>
              <w:jc w:val="left"/>
            </w:pPr>
            <w:r>
              <w:t xml:space="preserve">1</w:t>
            </w:r>
          </w:p>
        </w:tc>
      </w:tr>
      <w:tr>
        <w:tc>
          <w:tcPr/>
          <w:p>
            <w:pPr>
              <w:pStyle w:val="Compact"/>
              <w:jc w:val="left"/>
            </w:pPr>
            <w:r>
              <w:t xml:space="preserve">Conductivity/TDS Meter</w:t>
            </w:r>
          </w:p>
        </w:tc>
        <w:tc>
          <w:tcPr/>
          <w:p>
            <w:pPr>
              <w:pStyle w:val="Compact"/>
              <w:jc w:val="left"/>
            </w:pPr>
            <w:r>
              <w:t xml:space="preserve">Multi-parameter probe</w:t>
            </w:r>
          </w:p>
        </w:tc>
        <w:tc>
          <w:tcPr/>
          <w:p>
            <w:pPr>
              <w:pStyle w:val="Compact"/>
              <w:jc w:val="left"/>
            </w:pPr>
            <w:r>
              <w:t xml:space="preserve">1</w:t>
            </w:r>
          </w:p>
        </w:tc>
      </w:tr>
      <w:tr>
        <w:tc>
          <w:tcPr/>
          <w:p>
            <w:pPr>
              <w:pStyle w:val="Compact"/>
              <w:jc w:val="left"/>
            </w:pPr>
            <w:r>
              <w:t xml:space="preserve">Ice Chest</w:t>
            </w:r>
          </w:p>
        </w:tc>
        <w:tc>
          <w:tcPr/>
          <w:p>
            <w:pPr>
              <w:pStyle w:val="Compact"/>
              <w:jc w:val="left"/>
            </w:pPr>
            <w:r>
              <w:t xml:space="preserve">Insulated with ice packs (4°C)</w:t>
            </w:r>
          </w:p>
        </w:tc>
        <w:tc>
          <w:tcPr/>
          <w:p>
            <w:pPr>
              <w:pStyle w:val="Compact"/>
              <w:jc w:val="left"/>
            </w:pPr>
            <w:r>
              <w:t xml:space="preserve">2</w:t>
            </w:r>
          </w:p>
        </w:tc>
      </w:tr>
      <w:tr>
        <w:tc>
          <w:tcPr/>
          <w:p>
            <w:pPr>
              <w:pStyle w:val="Compact"/>
              <w:jc w:val="left"/>
            </w:pPr>
            <w:r>
              <w:t xml:space="preserve">GPS Device</w:t>
            </w:r>
          </w:p>
        </w:tc>
        <w:tc>
          <w:tcPr/>
          <w:p>
            <w:pPr>
              <w:pStyle w:val="Compact"/>
              <w:jc w:val="left"/>
            </w:pPr>
            <w:r>
              <w:t xml:space="preserve">Handheld or smartphone app</w:t>
            </w:r>
          </w:p>
        </w:tc>
        <w:tc>
          <w:tcPr/>
          <w:p>
            <w:pPr>
              <w:pStyle w:val="Compact"/>
              <w:jc w:val="left"/>
            </w:pPr>
            <w:r>
              <w:t xml:space="preserve">1</w:t>
            </w:r>
          </w:p>
        </w:tc>
      </w:tr>
    </w:tbl>
    <w:bookmarkEnd w:id="24"/>
    <w:bookmarkStart w:id="28" w:name="methodology"/>
    <w:p>
      <w:pPr>
        <w:pStyle w:val="Heading2"/>
      </w:pPr>
      <w:r>
        <w:t xml:space="preserve">5. Methodology</w:t>
      </w:r>
    </w:p>
    <w:bookmarkStart w:id="25" w:name="pre-sampling-calibration"/>
    <w:p>
      <w:pPr>
        <w:pStyle w:val="Heading3"/>
      </w:pPr>
      <w:r>
        <w:t xml:space="preserve">5.1 Pre-Sampling Calibration</w:t>
      </w:r>
    </w:p>
    <w:p>
      <w:pPr>
        <w:pStyle w:val="FirstParagraph"/>
      </w:pPr>
      <w:r>
        <w:t xml:space="preserve">The Environmental Engineer must calibrate all electronic instruments immediately before deployment. The pH meter should be calibrated using standard buffer solutions (pH 4.0, 7.0, and 10.0). The DO meter must be calibrated using the air-saturated water method or a zero-oxygen solution.</w:t>
      </w:r>
    </w:p>
    <w:bookmarkEnd w:id="25"/>
    <w:bookmarkStart w:id="26" w:name="field-sampling-procedure"/>
    <w:p>
      <w:pPr>
        <w:pStyle w:val="Heading3"/>
      </w:pPr>
      <w:r>
        <w:t xml:space="preserve">5.2 Field Sampling Procedure</w:t>
      </w:r>
    </w:p>
    <w:p>
      <w:pPr>
        <w:pStyle w:val="FirstParagraph"/>
      </w:pPr>
      <w:r>
        <w:t xml:space="preserve">Upon arrival at the designated sites in Colombo, the Environmental Engineer shall perform the following steps:</w:t>
      </w:r>
    </w:p>
    <w:p>
      <w:pPr>
        <w:numPr>
          <w:ilvl w:val="0"/>
          <w:numId w:val="1002"/>
        </w:numPr>
        <w:pStyle w:val="Compact"/>
      </w:pPr>
      <w:r>
        <w:rPr>
          <w:bCs/>
          <w:b/>
        </w:rPr>
        <w:t xml:space="preserve">Site Inspection:</w:t>
      </w:r>
      <w:r>
        <w:t xml:space="preserve"> </w:t>
      </w:r>
      <w:r>
        <w:t xml:space="preserve">Record visual observations, including color, odor, and presence of floating debris or oil slicks.</w:t>
      </w:r>
    </w:p>
    <w:p>
      <w:pPr>
        <w:numPr>
          <w:ilvl w:val="0"/>
          <w:numId w:val="1002"/>
        </w:numPr>
        <w:pStyle w:val="Compact"/>
      </w:pPr>
      <w:r>
        <w:rPr>
          <w:bCs/>
          <w:b/>
        </w:rPr>
        <w:t xml:space="preserve">In-Situ Measurements:</w:t>
      </w:r>
      <w:r>
        <w:t xml:space="preserve"> </w:t>
      </w:r>
      <w:r>
        <w:t xml:space="preserve">Measure pH, temperature, dissolved oxygen, and electrical conductivity directly in the water column at a depth of 30 cm below the surface. Record these values immediately in the field logbook.</w:t>
      </w:r>
    </w:p>
    <w:p>
      <w:pPr>
        <w:numPr>
          <w:ilvl w:val="0"/>
          <w:numId w:val="1002"/>
        </w:numPr>
        <w:pStyle w:val="Compact"/>
      </w:pPr>
      <w:r>
        <w:rPr>
          <w:bCs/>
          <w:b/>
        </w:rPr>
        <w:t xml:space="preserve">Sample Collection:</w:t>
      </w:r>
      <w:r>
        <w:t xml:space="preserve"> </w:t>
      </w:r>
      <w:r>
        <w:t xml:space="preserve">Rinse sampling bottles three times with the site water before filling. Fill bottles to the brim to minimize headspace, except for BOD bottles which require specific filling techniques.</w:t>
      </w:r>
    </w:p>
    <w:p>
      <w:pPr>
        <w:numPr>
          <w:ilvl w:val="0"/>
          <w:numId w:val="1002"/>
        </w:numPr>
        <w:pStyle w:val="Compact"/>
      </w:pPr>
      <w:r>
        <w:rPr>
          <w:bCs/>
          <w:b/>
        </w:rPr>
        <w:t xml:space="preserve">Preservation:</w:t>
      </w:r>
      <w:r>
        <w:t xml:space="preserve"> </w:t>
      </w:r>
      <w:r>
        <w:t xml:space="preserve">Add appropriate preservatives (e.g., sulfuric acid for heavy metals) as per standard methods. Place all samples immediately into the ice chest to maintain a temperature of 4°C.</w:t>
      </w:r>
    </w:p>
    <w:bookmarkEnd w:id="26"/>
    <w:bookmarkStart w:id="27" w:name="laboratory-analysis"/>
    <w:p>
      <w:pPr>
        <w:pStyle w:val="Heading3"/>
      </w:pPr>
      <w:r>
        <w:t xml:space="preserve">5.3 Laboratory Analysis</w:t>
      </w:r>
    </w:p>
    <w:p>
      <w:pPr>
        <w:pStyle w:val="FirstParagraph"/>
      </w:pPr>
      <w:r>
        <w:t xml:space="preserve">Samples must be transported to the accredited laboratory within 6 hours of collection. The Environmental Engineer will oversee the analysis of the following parameters:</w:t>
      </w:r>
    </w:p>
    <w:p>
      <w:pPr>
        <w:numPr>
          <w:ilvl w:val="0"/>
          <w:numId w:val="1003"/>
        </w:numPr>
        <w:pStyle w:val="Compact"/>
      </w:pPr>
      <w:r>
        <w:rPr>
          <w:bCs/>
          <w:b/>
        </w:rPr>
        <w:t xml:space="preserve">Biochemical Oxygen Demand (BOD5):</w:t>
      </w:r>
      <w:r>
        <w:t xml:space="preserve"> </w:t>
      </w:r>
      <w:r>
        <w:t xml:space="preserve">To assess organic pollution levels.</w:t>
      </w:r>
    </w:p>
    <w:p>
      <w:pPr>
        <w:numPr>
          <w:ilvl w:val="0"/>
          <w:numId w:val="1003"/>
        </w:numPr>
        <w:pStyle w:val="Compact"/>
      </w:pPr>
      <w:r>
        <w:rPr>
          <w:bCs/>
          <w:b/>
        </w:rPr>
        <w:t xml:space="preserve">Chemical Oxygen Demand (COD):</w:t>
      </w:r>
      <w:r>
        <w:t xml:space="preserve"> </w:t>
      </w:r>
      <w:r>
        <w:t xml:space="preserve">To measure oxidizable matter.</w:t>
      </w:r>
    </w:p>
    <w:p>
      <w:pPr>
        <w:numPr>
          <w:ilvl w:val="0"/>
          <w:numId w:val="1003"/>
        </w:numPr>
        <w:pStyle w:val="Compact"/>
      </w:pPr>
      <w:r>
        <w:rPr>
          <w:bCs/>
          <w:b/>
        </w:rPr>
        <w:t xml:space="preserve">Total Coliforms and E. coli:</w:t>
      </w:r>
      <w:r>
        <w:t xml:space="preserve"> </w:t>
      </w:r>
      <w:r>
        <w:t xml:space="preserve">To evaluate fecal contamination risks.</w:t>
      </w:r>
    </w:p>
    <w:p>
      <w:pPr>
        <w:numPr>
          <w:ilvl w:val="0"/>
          <w:numId w:val="1003"/>
        </w:numPr>
        <w:pStyle w:val="Compact"/>
      </w:pPr>
      <w:r>
        <w:rPr>
          <w:bCs/>
          <w:b/>
        </w:rPr>
        <w:t xml:space="preserve">Heavy Metals:</w:t>
      </w:r>
      <w:r>
        <w:t xml:space="preserve"> </w:t>
      </w:r>
      <w:r>
        <w:t xml:space="preserve">Specifically Lead (Pb), Cadmium (Cd), and Mercury (Hg) using Atomic Absorption Spectroscopy (AAS).</w:t>
      </w:r>
    </w:p>
    <w:bookmarkEnd w:id="27"/>
    <w:bookmarkEnd w:id="28"/>
    <w:bookmarkStart w:id="29" w:name="data-analysis-and-reporting"/>
    <w:p>
      <w:pPr>
        <w:pStyle w:val="Heading2"/>
      </w:pPr>
      <w:r>
        <w:t xml:space="preserve">6. Data Analysis and Reporting</w:t>
      </w:r>
    </w:p>
    <w:p>
      <w:pPr>
        <w:pStyle w:val="FirstParagraph"/>
      </w:pPr>
      <w:r>
        <w:t xml:space="preserve">The Environmental Engineer is responsible for compiling the raw data into a comprehensive report. The analysis must compare the results against the National Environmental (Surface Water Quality) Regulations of Sri Lanka.</w:t>
      </w:r>
    </w:p>
    <w:p>
      <w:pPr>
        <w:pStyle w:val="BodyText"/>
      </w:pPr>
      <w:r>
        <w:t xml:space="preserve">Statistical analysis should be performed to identify trends between the upstream, midstream, and downstream stations. If pollutant levels exceed the permissible limits, the report must include a risk assessment and recommendations for mitigation, such as improved wastewater treatment or stormwater management in Colombo.</w:t>
      </w:r>
    </w:p>
    <w:bookmarkEnd w:id="29"/>
    <w:bookmarkStart w:id="30" w:name="conclusion"/>
    <w:p>
      <w:pPr>
        <w:pStyle w:val="Heading2"/>
      </w:pPr>
      <w:r>
        <w:t xml:space="preserve">7. Conclusion</w:t>
      </w:r>
    </w:p>
    <w:p>
      <w:pPr>
        <w:pStyle w:val="FirstParagraph"/>
      </w:pPr>
      <w:r>
        <w:t xml:space="preserve">This experiment protocol provides a rigorous framework for the Environmental Engineer to evaluate water quality in Sri Lanka Colombo. Adherence to these procedures ensures data integrity, regulatory compliance, and the protection of public health and the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Colombo</dc:title>
  <dc:creator/>
  <dc:language>en</dc:language>
  <cp:keywords/>
  <dcterms:created xsi:type="dcterms:W3CDTF">2026-10-10T05:03:42Z</dcterms:created>
  <dcterms:modified xsi:type="dcterms:W3CDTF">2026-10-10T05:03:42Z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