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89505ea9c44739e9642bac23e4292e5298bdf95"/>
    <w:p>
      <w:pPr>
        <w:pStyle w:val="Heading1"/>
      </w:pPr>
      <w:r>
        <w:t xml:space="preserve">Experiment Protocol: Urban Surface Water Quality Assessment</w:t>
      </w:r>
    </w:p>
    <w:p>
      <w:pPr>
        <w:pStyle w:val="FirstParagraph"/>
      </w:pPr>
      <w:r>
        <w:rPr>
          <w:bCs/>
          <w:b/>
        </w:rPr>
        <w:t xml:space="preserve">Location:</w:t>
      </w:r>
      <w:r>
        <w:t xml:space="preserve"> </w:t>
      </w:r>
      <w:r>
        <w:t xml:space="preserve">Zurich, Switzerland</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ZH-ENV-2023-042</w:t>
      </w:r>
    </w:p>
    <w:bookmarkEnd w:id="20"/>
    <w:p>
      <w:pPr>
        <w:pStyle w:val="BodyText"/>
      </w:pPr>
      <w:r>
        <w:t xml:space="preserve">1. Objective</w:t>
      </w:r>
    </w:p>
    <w:p>
      <w:pPr>
        <w:pStyle w:val="BodyText"/>
      </w:pPr>
      <w:r>
        <w:t xml:space="preserve">The primary objective of this experiment protocol is to evaluate the physicochemical and microbiological quality of surface water in the Limmat River, specifically within the urban boundaries of Zurich, Switzerland. This assessment is critical for ensuring compliance with the Swiss Federal Act on the Protection of Waters (GSchG) and the Ordinance on the Protection of Waters (GSchV). As an Environmental Engineer, the goal is to identify potential anthropogenic pollutants, assess the efficacy of current wastewater treatment processes, and provide data-driven recommendations for urban water management strategies.</w:t>
      </w:r>
    </w:p>
    <w:p>
      <w:pPr>
        <w:pStyle w:val="BodyText"/>
      </w:pPr>
      <w:r>
        <w:t xml:space="preserve">2. Scope and Regulatory Context</w:t>
      </w:r>
    </w:p>
    <w:p>
      <w:pPr>
        <w:pStyle w:val="BodyText"/>
      </w:pPr>
      <w:r>
        <w:t xml:space="preserve">This protocol applies to water sampling and analysis conducted in Zurich, a city known for its stringent environmental standards. The study will focus on parameters relevant to urban runoff, industrial discharge, and recreational water use. Compliance with Swiss standards (SNV) and European Union directives is mandatory. The Environmental Engineer overseeing this protocol must ensure that all procedures align with the guidelines set by the Swiss Federal Office for the Environment (FOEN).</w:t>
      </w:r>
    </w:p>
    <w:p>
      <w:pPr>
        <w:pStyle w:val="BodyText"/>
      </w:pPr>
      <w:r>
        <w:t xml:space="preserve">3. Sampling Sites</w:t>
      </w:r>
    </w:p>
    <w:p>
      <w:pPr>
        <w:pStyle w:val="BodyText"/>
      </w:pPr>
      <w:r>
        <w:t xml:space="preserve">Sampling will be conducted at three strategic locations along the Limmat River in Zurich:</w:t>
      </w:r>
    </w:p>
    <w:p>
      <w:pPr>
        <w:numPr>
          <w:ilvl w:val="0"/>
          <w:numId w:val="1001"/>
        </w:numPr>
        <w:pStyle w:val="Compact"/>
      </w:pPr>
      <w:r>
        <w:rPr>
          <w:bCs/>
          <w:b/>
        </w:rPr>
        <w:t xml:space="preserve">Site A:</w:t>
      </w:r>
      <w:r>
        <w:t xml:space="preserve"> </w:t>
      </w:r>
      <w:r>
        <w:t xml:space="preserve">Upstream of the main urban area (reference site).</w:t>
      </w:r>
    </w:p>
    <w:p>
      <w:pPr>
        <w:numPr>
          <w:ilvl w:val="0"/>
          <w:numId w:val="1001"/>
        </w:numPr>
        <w:pStyle w:val="Compact"/>
      </w:pPr>
      <w:r>
        <w:rPr>
          <w:bCs/>
          <w:b/>
        </w:rPr>
        <w:t xml:space="preserve">Site B:</w:t>
      </w:r>
      <w:r>
        <w:t xml:space="preserve"> </w:t>
      </w:r>
      <w:r>
        <w:t xml:space="preserve">Mid-urban section, near major outfalls.</w:t>
      </w:r>
    </w:p>
    <w:p>
      <w:pPr>
        <w:numPr>
          <w:ilvl w:val="0"/>
          <w:numId w:val="1001"/>
        </w:numPr>
        <w:pStyle w:val="Compact"/>
      </w:pPr>
      <w:r>
        <w:rPr>
          <w:bCs/>
          <w:b/>
        </w:rPr>
        <w:t xml:space="preserve">Site C:</w:t>
      </w:r>
      <w:r>
        <w:t xml:space="preserve"> </w:t>
      </w:r>
      <w:r>
        <w:t xml:space="preserve">Downstream of the urban area, before the river exits the city limits.</w:t>
      </w:r>
    </w:p>
    <w:p>
      <w:pPr>
        <w:pStyle w:val="FirstParagraph"/>
      </w:pPr>
      <w:r>
        <w:t xml:space="preserve">Coordinates for each site will be recorded using GPS to ensure precision and repeatability.</w:t>
      </w:r>
    </w:p>
    <w:p>
      <w:pPr>
        <w:pStyle w:val="BodyText"/>
      </w:pPr>
      <w:r>
        <w:t xml:space="preserve">4. Methodology</w:t>
      </w:r>
    </w:p>
    <w:p>
      <w:pPr>
        <w:pStyle w:val="BodyText"/>
      </w:pPr>
      <w:r>
        <w:t xml:space="preserve">The methodology is designed to capture a comprehensive profile of water quality. Sampling will be conducted monthly over a period of six months to account for seasonal variations.</w:t>
      </w:r>
    </w:p>
    <w:bookmarkStart w:id="21" w:name="sample-collection"/>
    <w:p>
      <w:pPr>
        <w:pStyle w:val="Heading3"/>
      </w:pPr>
      <w:r>
        <w:t xml:space="preserve">4.1 Sample Collection</w:t>
      </w:r>
    </w:p>
    <w:p>
      <w:pPr>
        <w:pStyle w:val="FirstParagraph"/>
      </w:pPr>
      <w:r>
        <w:t xml:space="preserve">Water samples will be collected using sterile, pre-cleaned glass bottles. For microbiological analysis, samples will be collected in bottles containing sodium thiosulfate to neutralize residual chlorine. Each sample will be labeled with a unique identifier, date, time, and location. Chain of custody forms will be completed to maintain sample integrity.</w:t>
      </w:r>
    </w:p>
    <w:bookmarkEnd w:id="21"/>
    <w:bookmarkStart w:id="22" w:name="parameters-to-be-analyzed"/>
    <w:p>
      <w:pPr>
        <w:pStyle w:val="Heading3"/>
      </w:pPr>
      <w:r>
        <w:t xml:space="preserve">4.2 Parameters to be Analyzed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w:t>
            </w:r>
          </w:p>
        </w:tc>
        <w:tc>
          <w:tcPr/>
          <w:p>
            <w:pPr>
              <w:pStyle w:val="Compact"/>
              <w:jc w:val="left"/>
            </w:pPr>
            <w:r>
              <w:t xml:space="preserve">Standard</w:t>
            </w:r>
          </w:p>
        </w:tc>
      </w:tr>
      <w:tr>
        <w:tc>
          <w:tcPr/>
          <w:p>
            <w:pPr>
              <w:pStyle w:val="Compact"/>
              <w:jc w:val="left"/>
            </w:pPr>
            <w:r>
              <w:t xml:space="preserve">pH</w:t>
            </w:r>
          </w:p>
        </w:tc>
        <w:tc>
          <w:tcPr/>
          <w:p>
            <w:pPr>
              <w:pStyle w:val="Compact"/>
              <w:jc w:val="left"/>
            </w:pPr>
            <w:r>
              <w:t xml:space="preserve">Electrometric</w:t>
            </w:r>
          </w:p>
        </w:tc>
        <w:tc>
          <w:tcPr/>
          <w:p>
            <w:pPr>
              <w:pStyle w:val="Compact"/>
              <w:jc w:val="left"/>
            </w:pPr>
            <w:r>
              <w:t xml:space="preserve">SN EN ISO 10523</w:t>
            </w:r>
          </w:p>
        </w:tc>
      </w:tr>
      <w:tr>
        <w:tc>
          <w:tcPr/>
          <w:p>
            <w:pPr>
              <w:pStyle w:val="Compact"/>
              <w:jc w:val="left"/>
            </w:pPr>
            <w:r>
              <w:t xml:space="preserve">Dissolved Oxygen (DO)</w:t>
            </w:r>
          </w:p>
        </w:tc>
        <w:tc>
          <w:tcPr/>
          <w:p>
            <w:pPr>
              <w:pStyle w:val="Compact"/>
              <w:jc w:val="left"/>
            </w:pPr>
            <w:r>
              <w:t xml:space="preserve">Winkler Method</w:t>
            </w:r>
          </w:p>
        </w:tc>
        <w:tc>
          <w:tcPr/>
          <w:p>
            <w:pPr>
              <w:pStyle w:val="Compact"/>
              <w:jc w:val="left"/>
            </w:pPr>
            <w:r>
              <w:t xml:space="preserve">SN EN ISO 5814</w:t>
            </w:r>
          </w:p>
        </w:tc>
      </w:tr>
      <w:tr>
        <w:tc>
          <w:tcPr/>
          <w:p>
            <w:pPr>
              <w:pStyle w:val="Compact"/>
              <w:jc w:val="left"/>
            </w:pPr>
            <w:r>
              <w:t xml:space="preserve">Chemical Oxygen Demand (COD)</w:t>
            </w:r>
          </w:p>
        </w:tc>
        <w:tc>
          <w:tcPr/>
          <w:p>
            <w:pPr>
              <w:pStyle w:val="Compact"/>
              <w:jc w:val="left"/>
            </w:pPr>
            <w:r>
              <w:t xml:space="preserve">Dichromate Reflux</w:t>
            </w:r>
          </w:p>
        </w:tc>
        <w:tc>
          <w:tcPr/>
          <w:p>
            <w:pPr>
              <w:pStyle w:val="Compact"/>
              <w:jc w:val="left"/>
            </w:pPr>
            <w:r>
              <w:t xml:space="preserve">SN EN ISO 6060</w:t>
            </w:r>
          </w:p>
        </w:tc>
      </w:tr>
      <w:tr>
        <w:tc>
          <w:tcPr/>
          <w:p>
            <w:pPr>
              <w:pStyle w:val="Compact"/>
              <w:jc w:val="left"/>
            </w:pPr>
            <w:r>
              <w:t xml:space="preserve">Nitrate (NO3-)</w:t>
            </w:r>
          </w:p>
        </w:tc>
        <w:tc>
          <w:tcPr/>
          <w:p>
            <w:pPr>
              <w:pStyle w:val="Compact"/>
              <w:jc w:val="left"/>
            </w:pPr>
            <w:r>
              <w:t xml:space="preserve">Ion Chromatography</w:t>
            </w:r>
          </w:p>
        </w:tc>
        <w:tc>
          <w:tcPr/>
          <w:p>
            <w:pPr>
              <w:pStyle w:val="Compact"/>
              <w:jc w:val="left"/>
            </w:pPr>
            <w:r>
              <w:t xml:space="preserve">SN EN ISO 10304-1</w:t>
            </w:r>
          </w:p>
        </w:tc>
      </w:tr>
      <w:tr>
        <w:tc>
          <w:tcPr/>
          <w:p>
            <w:pPr>
              <w:pStyle w:val="Compact"/>
              <w:jc w:val="left"/>
            </w:pPr>
            <w:r>
              <w:t xml:space="preserve">Phosphate (PO43-)</w:t>
            </w:r>
          </w:p>
        </w:tc>
        <w:tc>
          <w:tcPr/>
          <w:p>
            <w:pPr>
              <w:pStyle w:val="Compact"/>
              <w:jc w:val="left"/>
            </w:pPr>
            <w:r>
              <w:t xml:space="preserve">Colorimetric</w:t>
            </w:r>
          </w:p>
        </w:tc>
        <w:tc>
          <w:tcPr/>
          <w:p>
            <w:pPr>
              <w:pStyle w:val="Compact"/>
              <w:jc w:val="left"/>
            </w:pPr>
            <w:r>
              <w:t xml:space="preserve">SN EN ISO 6878</w:t>
            </w:r>
          </w:p>
        </w:tc>
      </w:tr>
      <w:tr>
        <w:tc>
          <w:tcPr/>
          <w:p>
            <w:pPr>
              <w:pStyle w:val="Compact"/>
              <w:jc w:val="left"/>
            </w:pPr>
            <w:r>
              <w:t xml:space="preserve">Escherichia coli</w:t>
            </w:r>
          </w:p>
        </w:tc>
        <w:tc>
          <w:tcPr/>
          <w:p>
            <w:pPr>
              <w:pStyle w:val="Compact"/>
              <w:jc w:val="left"/>
            </w:pPr>
            <w:r>
              <w:t xml:space="preserve">Membrane Filtration</w:t>
            </w:r>
          </w:p>
        </w:tc>
        <w:tc>
          <w:tcPr/>
          <w:p>
            <w:pPr>
              <w:pStyle w:val="Compact"/>
              <w:jc w:val="left"/>
            </w:pPr>
            <w:r>
              <w:t xml:space="preserve">SN EN ISO 9308-1</w:t>
            </w:r>
          </w:p>
        </w:tc>
      </w:tr>
      <w:tr>
        <w:tc>
          <w:tcPr/>
          <w:p>
            <w:pPr>
              <w:pStyle w:val="Compact"/>
              <w:jc w:val="left"/>
            </w:pPr>
            <w:r>
              <w:t xml:space="preserve">Heavy Metals (Pb, Cd, Hg)</w:t>
            </w:r>
          </w:p>
        </w:tc>
        <w:tc>
          <w:tcPr/>
          <w:p>
            <w:pPr>
              <w:pStyle w:val="Compact"/>
              <w:jc w:val="left"/>
            </w:pPr>
            <w:r>
              <w:t xml:space="preserve">ICP-MS</w:t>
            </w:r>
          </w:p>
        </w:tc>
        <w:tc>
          <w:tcPr/>
          <w:p>
            <w:pPr>
              <w:pStyle w:val="Compact"/>
              <w:jc w:val="left"/>
            </w:pPr>
            <w:r>
              <w:t xml:space="preserve">SN EN ISO 11885</w:t>
            </w:r>
          </w:p>
        </w:tc>
      </w:tr>
    </w:tbl>
    <w:bookmarkEnd w:id="22"/>
    <w:p>
      <w:pPr>
        <w:pStyle w:val="BodyText"/>
      </w:pPr>
      <w:r>
        <w:t xml:space="preserve">5. Quality Assurance and Quality Control (QA/QC)</w:t>
      </w:r>
    </w:p>
    <w:p>
      <w:pPr>
        <w:pStyle w:val="BodyText"/>
      </w:pPr>
      <w:r>
        <w:t xml:space="preserve">To ensure the reliability of the data, the following QA/QC measures will be implemented:</w:t>
      </w:r>
    </w:p>
    <w:p>
      <w:pPr>
        <w:numPr>
          <w:ilvl w:val="0"/>
          <w:numId w:val="1002"/>
        </w:numPr>
        <w:pStyle w:val="Compact"/>
      </w:pPr>
      <w:r>
        <w:rPr>
          <w:bCs/>
          <w:b/>
        </w:rPr>
        <w:t xml:space="preserve">Field Blanks:</w:t>
      </w:r>
      <w:r>
        <w:t xml:space="preserve"> </w:t>
      </w:r>
      <w:r>
        <w:t xml:space="preserve">One field blank will be collected per sampling event to check for contamination during sampling.</w:t>
      </w:r>
    </w:p>
    <w:p>
      <w:pPr>
        <w:numPr>
          <w:ilvl w:val="0"/>
          <w:numId w:val="1002"/>
        </w:numPr>
        <w:pStyle w:val="Compact"/>
      </w:pPr>
      <w:r>
        <w:rPr>
          <w:bCs/>
          <w:b/>
        </w:rPr>
        <w:t xml:space="preserve">Duplicates:</w:t>
      </w:r>
      <w:r>
        <w:t xml:space="preserve"> </w:t>
      </w:r>
      <w:r>
        <w:t xml:space="preserve">10% of samples will be collected as duplicates to assess precision.</w:t>
      </w:r>
    </w:p>
    <w:p>
      <w:pPr>
        <w:numPr>
          <w:ilvl w:val="0"/>
          <w:numId w:val="1002"/>
        </w:numPr>
        <w:pStyle w:val="Compact"/>
      </w:pPr>
      <w:r>
        <w:rPr>
          <w:bCs/>
          <w:b/>
        </w:rPr>
        <w:t xml:space="preserve">Calibration:</w:t>
      </w:r>
      <w:r>
        <w:t xml:space="preserve"> </w:t>
      </w:r>
      <w:r>
        <w:t xml:space="preserve">All instruments will be calibrated before use according to manufacturer specifications.</w:t>
      </w:r>
    </w:p>
    <w:p>
      <w:pPr>
        <w:numPr>
          <w:ilvl w:val="0"/>
          <w:numId w:val="1002"/>
        </w:numPr>
        <w:pStyle w:val="Compact"/>
      </w:pPr>
      <w:r>
        <w:rPr>
          <w:bCs/>
          <w:b/>
        </w:rPr>
        <w:t xml:space="preserve">Reference Materials:</w:t>
      </w:r>
      <w:r>
        <w:t xml:space="preserve"> </w:t>
      </w:r>
      <w:r>
        <w:t xml:space="preserve">Certified reference materials will be analyzed periodically to verify accuracy.</w:t>
      </w:r>
    </w:p>
    <w:p>
      <w:pPr>
        <w:pStyle w:val="FirstParagraph"/>
      </w:pPr>
      <w:r>
        <w:t xml:space="preserve">The Environmental Engineer is responsible for reviewing all QA/QC data and ensuring that results meet the required quality criteria.</w:t>
      </w:r>
    </w:p>
    <w:p>
      <w:pPr>
        <w:pStyle w:val="BodyText"/>
      </w:pPr>
      <w:r>
        <w:t xml:space="preserve">6. Health and Safety</w:t>
      </w:r>
    </w:p>
    <w:p>
      <w:pPr>
        <w:pStyle w:val="BodyText"/>
      </w:pPr>
      <w:r>
        <w:t xml:space="preserve">Given the urban environment of Zurich, safety is paramount. All personnel must adhere to the following:</w:t>
      </w:r>
    </w:p>
    <w:p>
      <w:pPr>
        <w:numPr>
          <w:ilvl w:val="0"/>
          <w:numId w:val="1003"/>
        </w:numPr>
        <w:pStyle w:val="Compact"/>
      </w:pPr>
      <w:r>
        <w:t xml:space="preserve">Wear appropriate personal protective equipment (PPE), including gloves, safety glasses, and waterproof boots.</w:t>
      </w:r>
    </w:p>
    <w:p>
      <w:pPr>
        <w:numPr>
          <w:ilvl w:val="0"/>
          <w:numId w:val="1003"/>
        </w:numPr>
        <w:pStyle w:val="Compact"/>
      </w:pPr>
      <w:r>
        <w:t xml:space="preserve">Be aware of potential hazards such as slippery surfaces, strong currents, and traffic near sampling sites.</w:t>
      </w:r>
    </w:p>
    <w:p>
      <w:pPr>
        <w:numPr>
          <w:ilvl w:val="0"/>
          <w:numId w:val="1003"/>
        </w:numPr>
        <w:pStyle w:val="Compact"/>
      </w:pPr>
      <w:r>
        <w:t xml:space="preserve">Follow Swiss occupational safety regulations (ArG).</w:t>
      </w:r>
    </w:p>
    <w:p>
      <w:pPr>
        <w:numPr>
          <w:ilvl w:val="0"/>
          <w:numId w:val="1003"/>
        </w:numPr>
        <w:pStyle w:val="Compact"/>
      </w:pPr>
      <w:r>
        <w:t xml:space="preserve">Carry a first aid kit and emergency contact information at all times.</w:t>
      </w:r>
    </w:p>
    <w:p>
      <w:pPr>
        <w:pStyle w:val="FirstParagraph"/>
      </w:pPr>
      <w:r>
        <w:t xml:space="preserve">7. Data Analysis and Reporting</w:t>
      </w:r>
    </w:p>
    <w:p>
      <w:pPr>
        <w:pStyle w:val="BodyText"/>
      </w:pPr>
      <w:r>
        <w:t xml:space="preserve">Data will be analyzed using statistical software to identify trends and correlations. Results will be compared against Swiss regulatory limits and historical data. The Environmental Engineer will prepare a comprehensive report detailing findings, potential sources of pollution, and recommendations for mitigation. This report will be submitted to the relevant authorities in Zurich and may be used to inform future environmental policies.</w:t>
      </w:r>
    </w:p>
    <w:p>
      <w:pPr>
        <w:pStyle w:val="BodyText"/>
      </w:pPr>
      <w:r>
        <w:t xml:space="preserve">8. Conclusion</w:t>
      </w:r>
    </w:p>
    <w:p>
      <w:pPr>
        <w:pStyle w:val="BodyText"/>
      </w:pPr>
      <w:r>
        <w:t xml:space="preserve">This experiment protocol provides a structured approach to assessing water quality in Zurich, Switzerland. By adhering to rigorous scientific methods and regulatory standards, the Environmental Engineer can ensure that the data collected is accurate, reliable, and useful for protecting the environment and public health.</w:t>
      </w:r>
    </w:p>
    <w:p>
      <w:pPr>
        <w:pStyle w:val="BodyText"/>
      </w:pPr>
      <w:r>
        <w:rPr>
          <w:bCs/>
          <w:b/>
        </w:rPr>
        <w:t xml:space="preserve">Approved By:</w:t>
      </w:r>
    </w:p>
    <w:p>
      <w:pPr>
        <w:pStyle w:val="BodyText"/>
      </w:pPr>
      <w:r>
        <w:t xml:space="preserve">__________________________</w:t>
      </w:r>
    </w:p>
    <w:p>
      <w:pPr>
        <w:pStyle w:val="BodyText"/>
      </w:pPr>
      <w:r>
        <w:t xml:space="preserve">Senior Environmental Engineer</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2026-10-10T06:18:20Z</dcterms:created>
  <dcterms:modified xsi:type="dcterms:W3CDTF">2026-10-10T06:18:20Z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