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Engineer</w:t>
      </w:r>
      <w:r>
        <w:t xml:space="preserve"> </w:t>
      </w:r>
      <w:r>
        <w:t xml:space="preserve">-</w:t>
      </w:r>
      <w:r>
        <w:t xml:space="preserve"> </w:t>
      </w:r>
      <w:r>
        <w:t xml:space="preserve">Turkey</w:t>
      </w:r>
      <w:r>
        <w:t xml:space="preserve"> </w:t>
      </w:r>
      <w:r>
        <w:t xml:space="preserve">Istanbul</w:t>
      </w:r>
    </w:p>
    <w:bookmarkStart w:id="31" w:name="Xb8c88299a53f4800809ad81bf6cc80541060106"/>
    <w:p>
      <w:pPr>
        <w:pStyle w:val="Heading1"/>
      </w:pPr>
      <w:r>
        <w:t xml:space="preserve">Experiment Protocol: Urban Water Quality and Microplastic Analysis</w:t>
      </w:r>
    </w:p>
    <w:p>
      <w:pPr>
        <w:pStyle w:val="FirstParagraph"/>
      </w:pPr>
      <w:r>
        <w:rPr>
          <w:bCs/>
          <w:b/>
        </w:rPr>
        <w:t xml:space="preserve">Project Title:</w:t>
      </w:r>
      <w:r>
        <w:t xml:space="preserve"> </w:t>
      </w:r>
      <w:r>
        <w:t xml:space="preserve">Assessment of Microplastic Concentration in the Bosphorus Strait and Golden Horn Basin</w:t>
      </w:r>
    </w:p>
    <w:p>
      <w:pPr>
        <w:pStyle w:val="BodyText"/>
      </w:pPr>
      <w:r>
        <w:rPr>
          <w:bCs/>
          <w:b/>
        </w:rPr>
        <w:t xml:space="preserve">Location:</w:t>
      </w:r>
      <w:r>
        <w:t xml:space="preserve"> </w:t>
      </w:r>
      <w:r>
        <w:t xml:space="preserve">Turkey Istanbul (Coordinates: 41.0082° N, 28.9784° E)</w:t>
      </w:r>
    </w:p>
    <w:p>
      <w:pPr>
        <w:pStyle w:val="BodyText"/>
      </w:pPr>
      <w:r>
        <w:rPr>
          <w:bCs/>
          <w:b/>
        </w:rPr>
        <w:t xml:space="preserve">Lead Environmental Engineer:</w:t>
      </w:r>
      <w:r>
        <w:t xml:space="preserve"> </w:t>
      </w:r>
      <w:r>
        <w:t xml:space="preserve">[Name Redacted]</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the collection, analysis, and reporting of environmental data regarding microplastic pollution in the aquatic ecosystems of Turkey Istanbul. As a major metropolis straddling two continents, Turkey Istanbul faces unique environmental challenges due to high population density, heavy maritime traffic, and industrial discharge.</w:t>
      </w:r>
    </w:p>
    <w:p>
      <w:pPr>
        <w:pStyle w:val="BodyText"/>
      </w:pPr>
      <w:r>
        <w:t xml:space="preserve">The primary objective of this experiment is to quantify the concentration of microplastics (particles &lt; 5mm) in surface waters along the Bosphorus Strait and the Golden Horn. The Environmental Engineer leading this study aims to correlate pollution levels with specific urban activities, such as shipping lanes and wastewater outfalls, to inform local policy and remediation strategies.</w:t>
      </w:r>
    </w:p>
    <w:bookmarkEnd w:id="20"/>
    <w:bookmarkStart w:id="21" w:name="scope-and-regulatory-compliance"/>
    <w:p>
      <w:pPr>
        <w:pStyle w:val="Heading2"/>
      </w:pPr>
      <w:r>
        <w:t xml:space="preserve">2. Scope and Regulatory Compliance</w:t>
      </w:r>
    </w:p>
    <w:p>
      <w:pPr>
        <w:pStyle w:val="FirstParagraph"/>
      </w:pPr>
      <w:r>
        <w:t xml:space="preserve">This protocol adheres to the regulations set forth by the Ministry of Environment, Urbanization and Climate Change of Turkey. All sampling activities must comply with the "Regulation on the Control of Water Pollution" and international standards for marine debris monitoring. The Environmental Engineer is responsible for ensuring that all fieldwork respects local maritime laws and obtains necessary permits from the Istanbul Metropolitan Municipality.</w:t>
      </w:r>
    </w:p>
    <w:bookmarkEnd w:id="21"/>
    <w:bookmarkStart w:id="22" w:name="safety-and-risk-assessment"/>
    <w:p>
      <w:pPr>
        <w:pStyle w:val="Heading2"/>
      </w:pPr>
      <w:r>
        <w:t xml:space="preserve">3. Safety and Risk Assessment</w:t>
      </w:r>
    </w:p>
    <w:p>
      <w:pPr>
        <w:pStyle w:val="FirstParagraph"/>
      </w:pPr>
      <w:r>
        <w:t xml:space="preserve">Fieldwork in Turkey Istanbul involves specific risks, including strong currents in the Bosphorus, heavy boat traffic, and potential exposure to hazardous chemicals in the water.</w:t>
      </w:r>
    </w:p>
    <w:p>
      <w:pPr>
        <w:numPr>
          <w:ilvl w:val="0"/>
          <w:numId w:val="1001"/>
        </w:numPr>
        <w:pStyle w:val="Compact"/>
      </w:pPr>
      <w:r>
        <w:rPr>
          <w:bCs/>
          <w:b/>
        </w:rPr>
        <w:t xml:space="preserve">Personal Protective Equipment (PPE):</w:t>
      </w:r>
      <w:r>
        <w:t xml:space="preserve"> </w:t>
      </w:r>
      <w:r>
        <w:t xml:space="preserve">All personnel must wear life jackets, chemical-resistant gloves, safety goggles, and steel-toed boots.</w:t>
      </w:r>
    </w:p>
    <w:p>
      <w:pPr>
        <w:numPr>
          <w:ilvl w:val="0"/>
          <w:numId w:val="1001"/>
        </w:numPr>
        <w:pStyle w:val="Compact"/>
      </w:pPr>
      <w:r>
        <w:rPr>
          <w:bCs/>
          <w:b/>
        </w:rPr>
        <w:t xml:space="preserve">Maritime Safety:</w:t>
      </w:r>
      <w:r>
        <w:t xml:space="preserve"> </w:t>
      </w:r>
      <w:r>
        <w:t xml:space="preserve">Sampling vessels must be equipped with GPS, VHF radios, and emergency flares. The Environmental Engineer must monitor weather conditions via the Turkish State Meteorological Service (MGM) prior to departure.</w:t>
      </w:r>
    </w:p>
    <w:p>
      <w:pPr>
        <w:numPr>
          <w:ilvl w:val="0"/>
          <w:numId w:val="1001"/>
        </w:numPr>
        <w:pStyle w:val="Compact"/>
      </w:pPr>
      <w:r>
        <w:rPr>
          <w:bCs/>
          <w:b/>
        </w:rPr>
        <w:t xml:space="preserve">Chemical Hazards:</w:t>
      </w:r>
      <w:r>
        <w:t xml:space="preserve"> </w:t>
      </w:r>
      <w:r>
        <w:t xml:space="preserve">Laboratory analysis involves solvents such as potassium hydroxide (KOH) and hydrogen peroxide. Proper ventilation and fume hoods are mandatory.</w:t>
      </w:r>
    </w:p>
    <w:bookmarkEnd w:id="22"/>
    <w:bookmarkStart w:id="23" w:name="materials-and-equipment"/>
    <w:p>
      <w:pPr>
        <w:pStyle w:val="Heading2"/>
      </w:pPr>
      <w:r>
        <w:t xml:space="preserve">4. Materials and Equipment</w:t>
      </w:r>
    </w:p>
    <w:p>
      <w:pPr>
        <w:pStyle w:val="FirstParagraph"/>
      </w:pPr>
      <w:r>
        <w:t xml:space="preserve">The following equipment is required for the execution of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Manta Trawl</w:t>
            </w:r>
          </w:p>
        </w:tc>
        <w:tc>
          <w:tcPr/>
          <w:p>
            <w:pPr>
              <w:pStyle w:val="Compact"/>
              <w:jc w:val="left"/>
            </w:pPr>
            <w:r>
              <w:t xml:space="preserve">335 µm mesh size</w:t>
            </w:r>
          </w:p>
        </w:tc>
        <w:tc>
          <w:tcPr/>
          <w:p>
            <w:pPr>
              <w:pStyle w:val="Compact"/>
              <w:jc w:val="left"/>
            </w:pPr>
            <w:r>
              <w:t xml:space="preserve">2</w:t>
            </w:r>
          </w:p>
        </w:tc>
      </w:tr>
      <w:tr>
        <w:tc>
          <w:tcPr/>
          <w:p>
            <w:pPr>
              <w:pStyle w:val="Compact"/>
              <w:jc w:val="left"/>
            </w:pPr>
            <w:r>
              <w:t xml:space="preserve">Flowmeter</w:t>
            </w:r>
          </w:p>
        </w:tc>
        <w:tc>
          <w:tcPr/>
          <w:p>
            <w:pPr>
              <w:pStyle w:val="Compact"/>
              <w:jc w:val="left"/>
            </w:pPr>
            <w:r>
              <w:t xml:space="preserve">Calibrated for water velocity</w:t>
            </w:r>
          </w:p>
        </w:tc>
        <w:tc>
          <w:tcPr/>
          <w:p>
            <w:pPr>
              <w:pStyle w:val="Compact"/>
              <w:jc w:val="left"/>
            </w:pPr>
            <w:r>
              <w:t xml:space="preserve">1</w:t>
            </w:r>
          </w:p>
        </w:tc>
      </w:tr>
      <w:tr>
        <w:tc>
          <w:tcPr/>
          <w:p>
            <w:pPr>
              <w:pStyle w:val="Compact"/>
              <w:jc w:val="left"/>
            </w:pPr>
            <w:r>
              <w:t xml:space="preserve">GPS Device</w:t>
            </w:r>
          </w:p>
        </w:tc>
        <w:tc>
          <w:tcPr/>
          <w:p>
            <w:pPr>
              <w:pStyle w:val="Compact"/>
              <w:jc w:val="left"/>
            </w:pPr>
            <w:r>
              <w:t xml:space="preserve">High precision for Turkey Istanbul coordinates</w:t>
            </w:r>
          </w:p>
        </w:tc>
        <w:tc>
          <w:tcPr/>
          <w:p>
            <w:pPr>
              <w:pStyle w:val="Compact"/>
              <w:jc w:val="left"/>
            </w:pPr>
            <w:r>
              <w:t xml:space="preserve">2</w:t>
            </w:r>
          </w:p>
        </w:tc>
      </w:tr>
      <w:tr>
        <w:tc>
          <w:tcPr/>
          <w:p>
            <w:pPr>
              <w:pStyle w:val="Compact"/>
              <w:jc w:val="left"/>
            </w:pPr>
            <w:r>
              <w:t xml:space="preserve">Stainless Steel Scoops</w:t>
            </w:r>
          </w:p>
        </w:tc>
        <w:tc>
          <w:tcPr/>
          <w:p>
            <w:pPr>
              <w:pStyle w:val="Compact"/>
              <w:jc w:val="left"/>
            </w:pPr>
            <w:r>
              <w:t xml:space="preserve">For surface water collection</w:t>
            </w:r>
          </w:p>
        </w:tc>
        <w:tc>
          <w:tcPr/>
          <w:p>
            <w:pPr>
              <w:pStyle w:val="Compact"/>
              <w:jc w:val="left"/>
            </w:pPr>
            <w:r>
              <w:t xml:space="preserve">4</w:t>
            </w:r>
          </w:p>
        </w:tc>
      </w:tr>
      <w:tr>
        <w:tc>
          <w:tcPr/>
          <w:p>
            <w:pPr>
              <w:pStyle w:val="Compact"/>
              <w:jc w:val="left"/>
            </w:pPr>
            <w:r>
              <w:t xml:space="preserve">Pre-cleaned Glass Jars</w:t>
            </w:r>
          </w:p>
        </w:tc>
        <w:tc>
          <w:tcPr/>
          <w:p>
            <w:pPr>
              <w:pStyle w:val="Compact"/>
              <w:jc w:val="left"/>
            </w:pPr>
            <w:r>
              <w:t xml:space="preserve">500ml, acid-washed</w:t>
            </w:r>
          </w:p>
        </w:tc>
        <w:tc>
          <w:tcPr/>
          <w:p>
            <w:pPr>
              <w:pStyle w:val="Compact"/>
              <w:jc w:val="left"/>
            </w:pPr>
            <w:r>
              <w:t xml:space="preserve">50</w:t>
            </w:r>
          </w:p>
        </w:tc>
      </w:tr>
      <w:tr>
        <w:tc>
          <w:tcPr/>
          <w:p>
            <w:pPr>
              <w:pStyle w:val="Compact"/>
              <w:jc w:val="left"/>
            </w:pPr>
            <w:r>
              <w:t xml:space="preserve">Microscope</w:t>
            </w:r>
          </w:p>
        </w:tc>
        <w:tc>
          <w:tcPr/>
          <w:p>
            <w:pPr>
              <w:pStyle w:val="Compact"/>
              <w:jc w:val="left"/>
            </w:pPr>
            <w:r>
              <w:t xml:space="preserve">With digital imaging capability</w:t>
            </w:r>
          </w:p>
        </w:tc>
        <w:tc>
          <w:tcPr/>
          <w:p>
            <w:pPr>
              <w:pStyle w:val="Compact"/>
              <w:jc w:val="left"/>
            </w:pPr>
            <w:r>
              <w:t xml:space="preserve">1</w:t>
            </w:r>
          </w:p>
        </w:tc>
      </w:tr>
    </w:tbl>
    <w:bookmarkEnd w:id="23"/>
    <w:bookmarkStart w:id="27" w:name="experimental-procedure"/>
    <w:p>
      <w:pPr>
        <w:pStyle w:val="Heading2"/>
      </w:pPr>
      <w:r>
        <w:t xml:space="preserve">5. Experimental Procedure</w:t>
      </w:r>
    </w:p>
    <w:bookmarkStart w:id="24" w:name="site-selection"/>
    <w:p>
      <w:pPr>
        <w:pStyle w:val="Heading3"/>
      </w:pPr>
      <w:r>
        <w:t xml:space="preserve">5.1 Site Selection</w:t>
      </w:r>
    </w:p>
    <w:p>
      <w:pPr>
        <w:pStyle w:val="FirstParagraph"/>
      </w:pPr>
      <w:r>
        <w:t xml:space="preserve">The Environmental Engineer will select sampling sites based on a stratified random sampling method across Turkey Istanbul. Key areas include:</w:t>
      </w:r>
    </w:p>
    <w:p>
      <w:pPr>
        <w:numPr>
          <w:ilvl w:val="0"/>
          <w:numId w:val="1002"/>
        </w:numPr>
        <w:pStyle w:val="Compact"/>
      </w:pPr>
      <w:r>
        <w:rPr>
          <w:bCs/>
          <w:b/>
        </w:rPr>
        <w:t xml:space="preserve">Site A:</w:t>
      </w:r>
      <w:r>
        <w:t xml:space="preserve"> </w:t>
      </w:r>
      <w:r>
        <w:t xml:space="preserve">Near the Bosphorus Bridge (High traffic zone).</w:t>
      </w:r>
    </w:p>
    <w:p>
      <w:pPr>
        <w:numPr>
          <w:ilvl w:val="0"/>
          <w:numId w:val="1002"/>
        </w:numPr>
        <w:pStyle w:val="Compact"/>
      </w:pPr>
      <w:r>
        <w:rPr>
          <w:bCs/>
          <w:b/>
        </w:rPr>
        <w:t xml:space="preserve">Site B:</w:t>
      </w:r>
      <w:r>
        <w:t xml:space="preserve"> </w:t>
      </w:r>
      <w:r>
        <w:t xml:space="preserve">Golden Horn Estuary (Industrial discharge zone).</w:t>
      </w:r>
    </w:p>
    <w:p>
      <w:pPr>
        <w:numPr>
          <w:ilvl w:val="0"/>
          <w:numId w:val="1002"/>
        </w:numPr>
        <w:pStyle w:val="Compact"/>
      </w:pPr>
      <w:r>
        <w:rPr>
          <w:bCs/>
          <w:b/>
        </w:rPr>
        <w:t xml:space="preserve">Site C:</w:t>
      </w:r>
      <w:r>
        <w:t xml:space="preserve"> </w:t>
      </w:r>
      <w:r>
        <w:t xml:space="preserve">Princes' Islands vicinity (Control zone with lower traffic).</w:t>
      </w:r>
    </w:p>
    <w:bookmarkEnd w:id="24"/>
    <w:bookmarkStart w:id="25" w:name="field-sampling"/>
    <w:p>
      <w:pPr>
        <w:pStyle w:val="Heading3"/>
      </w:pPr>
      <w:r>
        <w:t xml:space="preserve">5.2 Field Sampling</w:t>
      </w:r>
    </w:p>
    <w:p>
      <w:pPr>
        <w:pStyle w:val="FirstParagraph"/>
      </w:pPr>
      <w:r>
        <w:t xml:space="preserve">Sampling will be conducted during calm weather conditions (wind speed &lt; 15 km/h) to ensure accurate surface water collection. The procedure is as follows:</w:t>
      </w:r>
    </w:p>
    <w:p>
      <w:pPr>
        <w:numPr>
          <w:ilvl w:val="0"/>
          <w:numId w:val="1003"/>
        </w:numPr>
        <w:pStyle w:val="Compact"/>
      </w:pPr>
      <w:r>
        <w:t xml:space="preserve">Deploy the Manta Trawl from the starboard side of the vessel.</w:t>
      </w:r>
    </w:p>
    <w:p>
      <w:pPr>
        <w:numPr>
          <w:ilvl w:val="0"/>
          <w:numId w:val="1003"/>
        </w:numPr>
        <w:pStyle w:val="Compact"/>
      </w:pPr>
      <w:r>
        <w:t xml:space="preserve">Tow the net for exactly 10 minutes at a constant speed of 3 knots.</w:t>
      </w:r>
    </w:p>
    <w:p>
      <w:pPr>
        <w:numPr>
          <w:ilvl w:val="0"/>
          <w:numId w:val="1003"/>
        </w:numPr>
        <w:pStyle w:val="Compact"/>
      </w:pPr>
      <w:r>
        <w:t xml:space="preserve">Record the start and end coordinates using the GPS device.</w:t>
      </w:r>
    </w:p>
    <w:p>
      <w:pPr>
        <w:numPr>
          <w:ilvl w:val="0"/>
          <w:numId w:val="1003"/>
        </w:numPr>
        <w:pStyle w:val="Compact"/>
      </w:pPr>
      <w:r>
        <w:t xml:space="preserve">Measure the water temperature, salinity, and pH at each site using a multi-parameter probe.</w:t>
      </w:r>
    </w:p>
    <w:p>
      <w:pPr>
        <w:numPr>
          <w:ilvl w:val="0"/>
          <w:numId w:val="1003"/>
        </w:numPr>
        <w:pStyle w:val="Compact"/>
      </w:pPr>
      <w:r>
        <w:t xml:space="preserve">Retrieve the net and rinse the contents into a pre-cleaned glass jar using filtered seawater.</w:t>
      </w:r>
    </w:p>
    <w:p>
      <w:pPr>
        <w:numPr>
          <w:ilvl w:val="0"/>
          <w:numId w:val="1003"/>
        </w:numPr>
        <w:pStyle w:val="Compact"/>
      </w:pPr>
      <w:r>
        <w:t xml:space="preserve">Label the jar with the site ID, date, time, and the name of the Environmental Engineer.</w:t>
      </w:r>
    </w:p>
    <w:bookmarkEnd w:id="25"/>
    <w:bookmarkStart w:id="26" w:name="laboratory-analysis"/>
    <w:p>
      <w:pPr>
        <w:pStyle w:val="Heading3"/>
      </w:pPr>
      <w:r>
        <w:t xml:space="preserve">5.3 Laboratory Analysis</w:t>
      </w:r>
    </w:p>
    <w:p>
      <w:pPr>
        <w:pStyle w:val="FirstParagraph"/>
      </w:pPr>
      <w:r>
        <w:t xml:space="preserve">Upon return to the laboratory in Turkey Istanbul, samples will undergo the following processing steps:</w:t>
      </w:r>
    </w:p>
    <w:p>
      <w:pPr>
        <w:numPr>
          <w:ilvl w:val="0"/>
          <w:numId w:val="1004"/>
        </w:numPr>
        <w:pStyle w:val="Compact"/>
      </w:pPr>
      <w:r>
        <w:rPr>
          <w:bCs/>
          <w:b/>
        </w:rPr>
        <w:t xml:space="preserve">Preservation:</w:t>
      </w:r>
      <w:r>
        <w:t xml:space="preserve"> </w:t>
      </w:r>
      <w:r>
        <w:t xml:space="preserve">Store samples at 4°C to prevent degradation.</w:t>
      </w:r>
    </w:p>
    <w:p>
      <w:pPr>
        <w:numPr>
          <w:ilvl w:val="0"/>
          <w:numId w:val="1004"/>
        </w:numPr>
        <w:pStyle w:val="Compact"/>
      </w:pPr>
      <w:r>
        <w:rPr>
          <w:bCs/>
          <w:b/>
        </w:rPr>
        <w:t xml:space="preserve">Filtration:</w:t>
      </w:r>
      <w:r>
        <w:t xml:space="preserve"> </w:t>
      </w:r>
      <w:r>
        <w:t xml:space="preserve">Filter samples through a 335 µm stainless steel sieve to separate microplastics from organic matter.</w:t>
      </w:r>
    </w:p>
    <w:p>
      <w:pPr>
        <w:numPr>
          <w:ilvl w:val="0"/>
          <w:numId w:val="1004"/>
        </w:numPr>
        <w:pStyle w:val="Compact"/>
      </w:pPr>
      <w:r>
        <w:rPr>
          <w:bCs/>
          <w:b/>
        </w:rPr>
        <w:t xml:space="preserve">Digestion:</w:t>
      </w:r>
      <w:r>
        <w:t xml:space="preserve"> </w:t>
      </w:r>
      <w:r>
        <w:t xml:space="preserve">Treat the residue with 10% KOH solution at 60°C for 24 hours to digest organic material.</w:t>
      </w:r>
    </w:p>
    <w:p>
      <w:pPr>
        <w:numPr>
          <w:ilvl w:val="0"/>
          <w:numId w:val="1004"/>
        </w:numPr>
        <w:pStyle w:val="Compact"/>
      </w:pPr>
      <w:r>
        <w:rPr>
          <w:bCs/>
          <w:b/>
        </w:rPr>
        <w:t xml:space="preserve">Identification:</w:t>
      </w:r>
      <w:r>
        <w:t xml:space="preserve"> </w:t>
      </w:r>
      <w:r>
        <w:t xml:space="preserve">Visually identify potential microplastics under a microscope based on shape, color, and texture.</w:t>
      </w:r>
    </w:p>
    <w:p>
      <w:pPr>
        <w:numPr>
          <w:ilvl w:val="0"/>
          <w:numId w:val="1004"/>
        </w:numPr>
        <w:pStyle w:val="Compact"/>
      </w:pPr>
      <w:r>
        <w:rPr>
          <w:bCs/>
          <w:b/>
        </w:rPr>
        <w:t xml:space="preserve">Confirmation:</w:t>
      </w:r>
      <w:r>
        <w:t xml:space="preserve"> </w:t>
      </w:r>
      <w:r>
        <w:t xml:space="preserve">Use Fourier Transform Infrared Spectroscopy (FTIR) to confirm the polymer type of selected particles.</w:t>
      </w:r>
    </w:p>
    <w:bookmarkEnd w:id="26"/>
    <w:bookmarkEnd w:id="27"/>
    <w:bookmarkStart w:id="28" w:name="data-analysis-and-reporting"/>
    <w:p>
      <w:pPr>
        <w:pStyle w:val="Heading2"/>
      </w:pPr>
      <w:r>
        <w:t xml:space="preserve">6. Data Analysis and Reporting</w:t>
      </w:r>
    </w:p>
    <w:p>
      <w:pPr>
        <w:pStyle w:val="FirstParagraph"/>
      </w:pPr>
      <w:r>
        <w:t xml:space="preserve">The Environmental Engineer will calculate the concentration of microplastics in particles per cubic meter (particles/m³). Statistical analysis will be performed to compare pollution levels between the different sites in Turkey Istanbul. The final report will include:</w:t>
      </w:r>
    </w:p>
    <w:p>
      <w:pPr>
        <w:numPr>
          <w:ilvl w:val="0"/>
          <w:numId w:val="1005"/>
        </w:numPr>
        <w:pStyle w:val="Compact"/>
      </w:pPr>
      <w:r>
        <w:t xml:space="preserve">Maps of sampling locations.</w:t>
      </w:r>
    </w:p>
    <w:p>
      <w:pPr>
        <w:numPr>
          <w:ilvl w:val="0"/>
          <w:numId w:val="1005"/>
        </w:numPr>
        <w:pStyle w:val="Compact"/>
      </w:pPr>
      <w:r>
        <w:t xml:space="preserve">Tables of microplastic concentrations and polymer types.</w:t>
      </w:r>
    </w:p>
    <w:p>
      <w:pPr>
        <w:numPr>
          <w:ilvl w:val="0"/>
          <w:numId w:val="1005"/>
        </w:numPr>
        <w:pStyle w:val="Compact"/>
      </w:pPr>
      <w:r>
        <w:t xml:space="preserve">Correlation analysis with traffic and industrial data.</w:t>
      </w:r>
    </w:p>
    <w:p>
      <w:pPr>
        <w:numPr>
          <w:ilvl w:val="0"/>
          <w:numId w:val="1005"/>
        </w:numPr>
        <w:pStyle w:val="Compact"/>
      </w:pPr>
      <w:r>
        <w:t xml:space="preserve">Recommendations for waste management improvements in Istanbul.</w:t>
      </w:r>
    </w:p>
    <w:bookmarkEnd w:id="28"/>
    <w:bookmarkStart w:id="29" w:name="X821d2f34bdaf57637cbbf49b6dc1cefe6766a7d"/>
    <w:p>
      <w:pPr>
        <w:pStyle w:val="Heading2"/>
      </w:pPr>
      <w:r>
        <w:t xml:space="preserve">7. Quality Assurance and Quality Control (QA/QC)</w:t>
      </w:r>
    </w:p>
    <w:p>
      <w:pPr>
        <w:pStyle w:val="FirstParagraph"/>
      </w:pPr>
      <w:r>
        <w:t xml:space="preserve">To ensure the integrity of the data, the following QA/QC measures will be implemented:</w:t>
      </w:r>
    </w:p>
    <w:p>
      <w:pPr>
        <w:numPr>
          <w:ilvl w:val="0"/>
          <w:numId w:val="1006"/>
        </w:numPr>
        <w:pStyle w:val="Compact"/>
      </w:pPr>
      <w:r>
        <w:rPr>
          <w:bCs/>
          <w:b/>
        </w:rPr>
        <w:t xml:space="preserve">Blank Samples:</w:t>
      </w:r>
      <w:r>
        <w:t xml:space="preserve"> </w:t>
      </w:r>
      <w:r>
        <w:t xml:space="preserve">Process field blanks and laboratory blanks to detect contamination from equipment or the environment.</w:t>
      </w:r>
    </w:p>
    <w:p>
      <w:pPr>
        <w:numPr>
          <w:ilvl w:val="0"/>
          <w:numId w:val="1006"/>
        </w:numPr>
        <w:pStyle w:val="Compact"/>
      </w:pPr>
      <w:r>
        <w:rPr>
          <w:bCs/>
          <w:b/>
        </w:rPr>
        <w:t xml:space="preserve">Calibration:</w:t>
      </w:r>
      <w:r>
        <w:t xml:space="preserve"> </w:t>
      </w:r>
      <w:r>
        <w:t xml:space="preserve">Calibrate all instruments before each use.</w:t>
      </w:r>
    </w:p>
    <w:p>
      <w:pPr>
        <w:numPr>
          <w:ilvl w:val="0"/>
          <w:numId w:val="1006"/>
        </w:numPr>
        <w:pStyle w:val="Compact"/>
      </w:pPr>
      <w:r>
        <w:rPr>
          <w:bCs/>
          <w:b/>
        </w:rPr>
        <w:t xml:space="preserve">Replicates:</w:t>
      </w:r>
      <w:r>
        <w:t xml:space="preserve"> </w:t>
      </w:r>
      <w:r>
        <w:t xml:space="preserve">Collect duplicate samples at 10% of the sites to assess variability.</w:t>
      </w:r>
    </w:p>
    <w:bookmarkEnd w:id="29"/>
    <w:bookmarkStart w:id="30" w:name="conclusion"/>
    <w:p>
      <w:pPr>
        <w:pStyle w:val="Heading2"/>
      </w:pPr>
      <w:r>
        <w:t xml:space="preserve">8. Conclusion</w:t>
      </w:r>
    </w:p>
    <w:p>
      <w:pPr>
        <w:pStyle w:val="FirstParagraph"/>
      </w:pPr>
      <w:r>
        <w:t xml:space="preserve">This Experiment Protocol provides a rigorous framework for assessing microplastic pollution in Turkey Istanbul. By following these procedures, the Environmental Engineer will generate reliable data that can contribute to the protection of the Bosphorus and Golden Horn ecosystems. The findings will be shared with relevant stakeholders, including the Istanbul Metropolitan Municipality and environmental NGOs, to promote sustainable urban development.</w:t>
      </w:r>
    </w:p>
    <w:p>
      <w:pPr>
        <w:pStyle w:val="BodyText"/>
      </w:pPr>
      <w:r>
        <w:t xml:space="preserve">Note: Any deviations from this protocol must be documented and approved by the lead Environmental Engineer prior to implementation.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Engineer - Turkey Istanbul</dc:title>
  <dc:creator/>
  <dc:language>en</dc:language>
  <cp:keywords/>
  <dcterms:created xsi:type="dcterms:W3CDTF">2026-10-10T05:40:02Z</dcterms:created>
  <dcterms:modified xsi:type="dcterms:W3CDTF">2026-10-10T05:40:02Z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