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Environmental</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ff8b1086d2cc9e8aa1f9fbbaeeab0e1b5faad56"/>
    <w:p>
      <w:pPr>
        <w:pStyle w:val="Heading1"/>
      </w:pPr>
      <w:r>
        <w:t xml:space="preserve">Experiment Protocol: Environmental Engineer</w:t>
      </w:r>
    </w:p>
    <w:p>
      <w:pPr>
        <w:pStyle w:val="FirstParagraph"/>
      </w:pPr>
      <w:r>
        <w:rPr>
          <w:bCs/>
          <w:b/>
        </w:rPr>
        <w:t xml:space="preserve">Project Title:</w:t>
      </w:r>
      <w:r>
        <w:t xml:space="preserve"> </w:t>
      </w:r>
      <w:r>
        <w:t xml:space="preserve">Assessment of Atmospheric Particulate Matter (PM2.5) and Heavy Metal Deposition in High-Density Urban Zones</w:t>
      </w:r>
    </w:p>
    <w:p>
      <w:pPr>
        <w:pStyle w:val="BodyText"/>
      </w:pPr>
      <w:r>
        <w:rPr>
          <w:bCs/>
          <w:b/>
        </w:rPr>
        <w:t xml:space="preserve">Location:</w:t>
      </w:r>
      <w:r>
        <w:t xml:space="preserve"> </w:t>
      </w:r>
      <w:r>
        <w:t xml:space="preserve">United Arab Emirates, Dubai (Specifically: Downtown Dubai and Business Bay Districts)</w:t>
      </w:r>
    </w:p>
    <w:p>
      <w:pPr>
        <w:pStyle w:val="BodyText"/>
      </w:pPr>
      <w:r>
        <w:rPr>
          <w:bCs/>
          <w:b/>
        </w:rPr>
        <w:t xml:space="preserve">Lead Investigator:</w:t>
      </w:r>
      <w:r>
        <w:t xml:space="preserve"> </w:t>
      </w:r>
      <w:r>
        <w:t xml:space="preserve">Senior Environmental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Regulatory Compliance:</w:t>
      </w:r>
      <w:r>
        <w:t xml:space="preserve"> </w:t>
      </w:r>
      <w:r>
        <w:t xml:space="preserve">Dubai Municipality Environmental Department Standards &amp; UAE Federal Law No. 24 of 1999</w:t>
      </w:r>
    </w:p>
    <w:bookmarkStart w:id="20" w:name="introduction-and-objective"/>
    <w:p>
      <w:pPr>
        <w:pStyle w:val="Heading2"/>
      </w:pPr>
      <w:r>
        <w:t xml:space="preserve">1. Introduction and Objective</w:t>
      </w:r>
    </w:p>
    <w:p>
      <w:pPr>
        <w:pStyle w:val="FirstParagraph"/>
      </w:pPr>
      <w:r>
        <w:t xml:space="preserve">This Experiment Protocol outlines the rigorous methodology to be employed by the Environmental Engineer team to evaluate air quality parameters within the United Arab Emirates, specifically focusing on the rapid urbanization effects in Dubai. As Dubai continues to expand its skyline and infrastructure, the monitoring of environmental health is paramount.</w:t>
      </w:r>
    </w:p>
    <w:p>
      <w:pPr>
        <w:pStyle w:val="BodyText"/>
      </w:pPr>
      <w:r>
        <w:t xml:space="preserve">The primary objective of this experiment is to quantify the concentration of fine particulate matter (PM2.5) and associated heavy metals (Lead, Cadmium, and Arsenic) in the ambient air. The Environmental Engineer will utilize this data to assess compliance with the UAE's National Air Quality Standards and to propose mitigation strategies for urban planning.</w:t>
      </w:r>
    </w:p>
    <w:bookmarkEnd w:id="20"/>
    <w:bookmarkStart w:id="21" w:name="scope-and-site-selection"/>
    <w:p>
      <w:pPr>
        <w:pStyle w:val="Heading2"/>
      </w:pPr>
      <w:r>
        <w:t xml:space="preserve">2. Scope and Site Selection</w:t>
      </w:r>
    </w:p>
    <w:p>
      <w:pPr>
        <w:pStyle w:val="FirstParagraph"/>
      </w:pPr>
      <w:r>
        <w:t xml:space="preserve">The scope of this experiment is limited to the terrestrial atmospheric boundary layer within the designated districts of Dubai. The selection of sites is critical to ensure data represents the specific environmental challenges of the United Arab Emirates.</w:t>
      </w:r>
    </w:p>
    <w:p>
      <w:pPr>
        <w:pStyle w:val="BodyText"/>
      </w:pPr>
      <w:r>
        <w:t xml:space="preserve">Three distinct monitoring stations will be established:</w:t>
      </w:r>
    </w:p>
    <w:p>
      <w:pPr>
        <w:numPr>
          <w:ilvl w:val="0"/>
          <w:numId w:val="1001"/>
        </w:numPr>
        <w:pStyle w:val="Compact"/>
      </w:pPr>
      <w:r>
        <w:rPr>
          <w:bCs/>
          <w:b/>
        </w:rPr>
        <w:t xml:space="preserve">Site A (Commercial Hub):</w:t>
      </w:r>
      <w:r>
        <w:t xml:space="preserve"> </w:t>
      </w:r>
      <w:r>
        <w:t xml:space="preserve">Sheikh Zayed Road, Downtown Dubai. High traffic volume and proximity to construction sites.</w:t>
      </w:r>
    </w:p>
    <w:p>
      <w:pPr>
        <w:numPr>
          <w:ilvl w:val="0"/>
          <w:numId w:val="1001"/>
        </w:numPr>
        <w:pStyle w:val="Compact"/>
      </w:pPr>
      <w:r>
        <w:rPr>
          <w:bCs/>
          <w:b/>
        </w:rPr>
        <w:t xml:space="preserve">Site B (Residential/Waterfront):</w:t>
      </w:r>
      <w:r>
        <w:t xml:space="preserve"> </w:t>
      </w:r>
      <w:r>
        <w:t xml:space="preserve">Business Bay. Proximity to the Dubai Water Canal and residential high-rises.</w:t>
      </w:r>
    </w:p>
    <w:p>
      <w:pPr>
        <w:numPr>
          <w:ilvl w:val="0"/>
          <w:numId w:val="1001"/>
        </w:numPr>
        <w:pStyle w:val="Compact"/>
      </w:pPr>
      <w:r>
        <w:rPr>
          <w:bCs/>
          <w:b/>
        </w:rPr>
        <w:t xml:space="preserve">Site C (Control):</w:t>
      </w:r>
      <w:r>
        <w:t xml:space="preserve"> </w:t>
      </w:r>
      <w:r>
        <w:t xml:space="preserve">Al Barsha South. Lower density area to establish a baseline for regional background pollution.</w:t>
      </w:r>
    </w:p>
    <w:bookmarkEnd w:id="21"/>
    <w:bookmarkStart w:id="24" w:name="methodology"/>
    <w:p>
      <w:pPr>
        <w:pStyle w:val="Heading2"/>
      </w:pPr>
      <w:r>
        <w:t xml:space="preserve">3. Methodology</w:t>
      </w:r>
    </w:p>
    <w:p>
      <w:pPr>
        <w:pStyle w:val="FirstParagraph"/>
      </w:pPr>
      <w:r>
        <w:t xml:space="preserve">The Environmental Engineer will oversee the deployment of high-volume air samplers (Hi-Vol) calibrated according to ISO 16000-49 standards. The experiment will run for a duration of 30 consecutive days to account for daily variations in temperature and wind patterns typical of the Dubai climate.</w:t>
      </w:r>
    </w:p>
    <w:bookmarkStart w:id="22" w:name="sampling-procedure"/>
    <w:p>
      <w:pPr>
        <w:pStyle w:val="Heading3"/>
      </w:pPr>
      <w:r>
        <w:t xml:space="preserve">3.1 Sampling Procedure</w:t>
      </w:r>
    </w:p>
    <w:p>
      <w:pPr>
        <w:pStyle w:val="FirstParagraph"/>
      </w:pPr>
      <w:r>
        <w:t xml:space="preserve">Samples will be collected on Teflon filters for PM2.5 analysis. The sampling rate will be maintained at 1.13 cubic meters per minute. Given the high ambient temperatures in the United Arab Emirates, all sampling equipment will be housed in climate-controlled enclosures to prevent sensor drift and filter degradation.</w:t>
      </w:r>
    </w:p>
    <w:p>
      <w:pPr>
        <w:pStyle w:val="BodyText"/>
      </w:pPr>
      <w:r>
        <w:t xml:space="preserve">Wind direction and speed data will be recorded simultaneously using anemometers installed at each site to correlate pollution spikes with specific traffic corridors or industrial activities.</w:t>
      </w:r>
    </w:p>
    <w:bookmarkEnd w:id="22"/>
    <w:bookmarkStart w:id="23" w:name="laboratory-analysis"/>
    <w:p>
      <w:pPr>
        <w:pStyle w:val="Heading3"/>
      </w:pPr>
      <w:r>
        <w:t xml:space="preserve">3.2 Laboratory Analysis</w:t>
      </w:r>
    </w:p>
    <w:p>
      <w:pPr>
        <w:pStyle w:val="FirstParagraph"/>
      </w:pPr>
      <w:r>
        <w:t xml:space="preserve">Upon collection, filters will be transported to the accredited laboratory in Dubai under strict chain-of-custody protocols. The Environmental Engineer will ensure that samples are analyzed using Inductively Coupled Plasma Mass Spectrometry (ICP-MS) to detect heavy metal concentrations. This method provides the sensitivity required to detect trace elements often associated with vehicle exhaust and construction dust prevalent in Dubai.</w:t>
      </w:r>
    </w:p>
    <w:bookmarkEnd w:id="23"/>
    <w:bookmarkEnd w:id="24"/>
    <w:bookmarkStart w:id="25" w:name="Xb2392c270a364cc9ad92bf40e7d2ae289f93bbf"/>
    <w:p>
      <w:pPr>
        <w:pStyle w:val="Heading2"/>
      </w:pPr>
      <w:r>
        <w:t xml:space="preserve">4. Health, Safety, and Environmental (HSE) Considerations</w:t>
      </w:r>
    </w:p>
    <w:p>
      <w:pPr>
        <w:pStyle w:val="FirstParagraph"/>
      </w:pPr>
      <w:r>
        <w:t xml:space="preserve">Adherence to HSE regulations is non-negotiable. The Environmental Engineer must ensure that all field personnel are equipped with appropriate Personal Protective Equipment (PPE), including heat-stress monitoring devices, given the potential for high temperatures in Dubai.</w:t>
      </w:r>
    </w:p>
    <w:p>
      <w:pPr>
        <w:pStyle w:val="BodyText"/>
      </w:pPr>
      <w:r>
        <w:t xml:space="preserve">Furthermore, the experiment must not disrupt local traffic or public spaces. All equipment installation requires prior written approval from the Dubai Municipality. Waste management protocols will be strictly followed to ensure no hazardous materials are introduced into the local ecosystem.</w:t>
      </w:r>
    </w:p>
    <w:bookmarkEnd w:id="25"/>
    <w:bookmarkStart w:id="26" w:name="data-management-and-quality-assurance"/>
    <w:p>
      <w:pPr>
        <w:pStyle w:val="Heading2"/>
      </w:pPr>
      <w:r>
        <w:t xml:space="preserve">5. Data Management and Quality Assurance</w:t>
      </w:r>
    </w:p>
    <w:p>
      <w:pPr>
        <w:pStyle w:val="FirstParagraph"/>
      </w:pPr>
      <w:r>
        <w:t xml:space="preserve">Data integrity is the cornerstone of this experiment. The Environmental Engineer will implement a Quality Assurance/Quality Control (QA/QC) plan that includes:</w:t>
      </w:r>
    </w:p>
    <w:p>
      <w:pPr>
        <w:numPr>
          <w:ilvl w:val="0"/>
          <w:numId w:val="1002"/>
        </w:numPr>
        <w:pStyle w:val="Compact"/>
      </w:pPr>
      <w:r>
        <w:t xml:space="preserve">Calibration of all instruments before and after the sampling period.</w:t>
      </w:r>
    </w:p>
    <w:p>
      <w:pPr>
        <w:numPr>
          <w:ilvl w:val="0"/>
          <w:numId w:val="1002"/>
        </w:numPr>
        <w:pStyle w:val="Compact"/>
      </w:pPr>
      <w:r>
        <w:t xml:space="preserve">Collection of field blanks to account for contamination during handling.</w:t>
      </w:r>
    </w:p>
    <w:p>
      <w:pPr>
        <w:numPr>
          <w:ilvl w:val="0"/>
          <w:numId w:val="1002"/>
        </w:numPr>
        <w:pStyle w:val="Compact"/>
      </w:pPr>
      <w:r>
        <w:t xml:space="preserve">Duplicate sampling at 10% of the total sampling events to verify reproducibility.</w:t>
      </w:r>
    </w:p>
    <w:p>
      <w:pPr>
        <w:pStyle w:val="FirstParagraph"/>
      </w:pPr>
      <w:r>
        <w:t xml:space="preserve">All data will be logged into a centralized database compliant with the UAE's data protection laws. Real-time monitoring dashboards will be available to stakeholders to visualize air quality trends in Dubai.</w:t>
      </w:r>
    </w:p>
    <w:bookmarkEnd w:id="26"/>
    <w:bookmarkStart w:id="27" w:name="risk-assessment"/>
    <w:p>
      <w:pPr>
        <w:pStyle w:val="Heading2"/>
      </w:pPr>
      <w:r>
        <w:t xml:space="preserve">6. Risk Assessment</w:t>
      </w:r>
    </w:p>
    <w:p>
      <w:pPr>
        <w:pStyle w:val="FirstParagraph"/>
      </w:pPr>
      <w:r>
        <w:t xml:space="preserve">The following risks have been identified and mitigated: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w:t>
            </w:r>
          </w:p>
        </w:tc>
        <w:tc>
          <w:tcPr/>
          <w:p>
            <w:pPr>
              <w:pStyle w:val="Compact"/>
              <w:jc w:val="left"/>
            </w:pPr>
            <w:r>
              <w:t xml:space="preserve">Probability</w:t>
            </w:r>
          </w:p>
        </w:tc>
        <w:tc>
          <w:tcPr/>
          <w:p>
            <w:pPr>
              <w:pStyle w:val="Compact"/>
              <w:jc w:val="left"/>
            </w:pPr>
            <w:r>
              <w:t xml:space="preserve">Mitigation Strategy</w:t>
            </w:r>
          </w:p>
        </w:tc>
      </w:tr>
      <w:tr>
        <w:tc>
          <w:tcPr/>
          <w:p>
            <w:pPr>
              <w:pStyle w:val="Compact"/>
              <w:jc w:val="left"/>
            </w:pPr>
            <w:r>
              <w:t xml:space="preserve">Equipment failure due to heat</w:t>
            </w:r>
          </w:p>
        </w:tc>
        <w:tc>
          <w:tcPr/>
          <w:p>
            <w:pPr>
              <w:pStyle w:val="Compact"/>
              <w:jc w:val="left"/>
            </w:pPr>
            <w:r>
              <w:t xml:space="preserve">Medium</w:t>
            </w:r>
          </w:p>
        </w:tc>
        <w:tc>
          <w:tcPr/>
          <w:p>
            <w:pPr>
              <w:pStyle w:val="Compact"/>
              <w:jc w:val="left"/>
            </w:pPr>
            <w:r>
              <w:t xml:space="preserve">Use of industrial-grade, climate-controlled enclosures.</w:t>
            </w:r>
          </w:p>
        </w:tc>
      </w:tr>
      <w:tr>
        <w:tc>
          <w:tcPr/>
          <w:p>
            <w:pPr>
              <w:pStyle w:val="Compact"/>
              <w:jc w:val="left"/>
            </w:pPr>
            <w:r>
              <w:t xml:space="preserve">Sandstorm interference</w:t>
            </w:r>
          </w:p>
        </w:tc>
        <w:tc>
          <w:tcPr/>
          <w:p>
            <w:pPr>
              <w:pStyle w:val="Compact"/>
              <w:jc w:val="left"/>
            </w:pPr>
            <w:r>
              <w:t xml:space="preserve">High</w:t>
            </w:r>
          </w:p>
        </w:tc>
        <w:tc>
          <w:tcPr/>
          <w:p>
            <w:pPr>
              <w:pStyle w:val="Compact"/>
              <w:jc w:val="left"/>
            </w:pPr>
            <w:r>
              <w:t xml:space="preserve">Installation of protective covers; exclusion of data during extreme events.</w:t>
            </w:r>
          </w:p>
        </w:tc>
      </w:tr>
      <w:tr>
        <w:tc>
          <w:tcPr/>
          <w:p>
            <w:pPr>
              <w:pStyle w:val="Compact"/>
              <w:jc w:val="left"/>
            </w:pPr>
            <w:r>
              <w:t xml:space="preserve">Regulatory non-compliance</w:t>
            </w:r>
          </w:p>
        </w:tc>
        <w:tc>
          <w:tcPr/>
          <w:p>
            <w:pPr>
              <w:pStyle w:val="Compact"/>
              <w:jc w:val="left"/>
            </w:pPr>
            <w:r>
              <w:t xml:space="preserve">Low</w:t>
            </w:r>
          </w:p>
        </w:tc>
        <w:tc>
          <w:tcPr/>
          <w:p>
            <w:pPr>
              <w:pStyle w:val="Compact"/>
              <w:jc w:val="left"/>
            </w:pPr>
            <w:r>
              <w:t xml:space="preserve">Regular consultation with Dubai Municipality Environmental Department.</w:t>
            </w:r>
          </w:p>
        </w:tc>
      </w:tr>
    </w:tbl>
    <w:bookmarkEnd w:id="27"/>
    <w:bookmarkStart w:id="28" w:name="reporting-and-deliverables"/>
    <w:p>
      <w:pPr>
        <w:pStyle w:val="Heading2"/>
      </w:pPr>
      <w:r>
        <w:t xml:space="preserve">7. Reporting and Deliverables</w:t>
      </w:r>
    </w:p>
    <w:p>
      <w:pPr>
        <w:pStyle w:val="FirstParagraph"/>
      </w:pPr>
      <w:r>
        <w:t xml:space="preserve">Upon completion of the experiment, the Environmental Engineer will compile a comprehensive report detailing the findings. This report will include:</w:t>
      </w:r>
    </w:p>
    <w:p>
      <w:pPr>
        <w:numPr>
          <w:ilvl w:val="0"/>
          <w:numId w:val="1003"/>
        </w:numPr>
        <w:pStyle w:val="Compact"/>
      </w:pPr>
      <w:r>
        <w:t xml:space="preserve">Statistical analysis of PM2.5 and heavy metal concentrations.</w:t>
      </w:r>
    </w:p>
    <w:p>
      <w:pPr>
        <w:numPr>
          <w:ilvl w:val="0"/>
          <w:numId w:val="1003"/>
        </w:numPr>
        <w:pStyle w:val="Compact"/>
      </w:pPr>
      <w:r>
        <w:t xml:space="preserve">Comparison of results against UAE National Air Quality Standards.</w:t>
      </w:r>
    </w:p>
    <w:p>
      <w:pPr>
        <w:numPr>
          <w:ilvl w:val="0"/>
          <w:numId w:val="1003"/>
        </w:numPr>
        <w:pStyle w:val="Compact"/>
      </w:pPr>
      <w:r>
        <w:t xml:space="preserve">Identification of primary pollution sources in the studied areas of Dubai.</w:t>
      </w:r>
    </w:p>
    <w:p>
      <w:pPr>
        <w:numPr>
          <w:ilvl w:val="0"/>
          <w:numId w:val="1003"/>
        </w:numPr>
        <w:pStyle w:val="Compact"/>
      </w:pPr>
      <w:r>
        <w:t xml:space="preserve">Recommendations for policy adjustments or engineering controls.</w:t>
      </w:r>
    </w:p>
    <w:p>
      <w:pPr>
        <w:pStyle w:val="FirstParagraph"/>
      </w:pPr>
      <w:r>
        <w:t xml:space="preserve">This document serves as the binding protocol for the experiment. Any deviations must be documented and approved by the Lead Environmental Engineer.</w:t>
      </w:r>
    </w:p>
    <w:p>
      <w:pPr>
        <w:pStyle w:val="BodyText"/>
      </w:pPr>
      <w:r>
        <w:rPr>
          <w:bCs/>
          <w:b/>
        </w:rPr>
        <w:t xml:space="preserve">Prepared By:</w:t>
      </w:r>
    </w:p>
    <w:p>
      <w:pPr>
        <w:pStyle w:val="BodyText"/>
      </w:pPr>
      <w:r>
        <w:t xml:space="preserve">Environmental Engineer</w:t>
      </w:r>
    </w:p>
    <w:p>
      <w:pPr>
        <w:pStyle w:val="BodyText"/>
      </w:pPr>
      <w:r>
        <w:rPr>
          <w:bCs/>
          <w:b/>
        </w:rPr>
        <w:t xml:space="preserve">Approved By:</w:t>
      </w:r>
    </w:p>
    <w:p>
      <w:pPr>
        <w:pStyle w:val="BodyText"/>
      </w:pPr>
      <w:r>
        <w:t xml:space="preserve">Project Director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Environmental Engineer - United Arab Emirates Dubai</dc:title>
  <dc:creator/>
  <dc:language>en</dc:language>
  <cp:keywords/>
  <dcterms:created xsi:type="dcterms:W3CDTF">2026-10-10T03:41:45Z</dcterms:created>
  <dcterms:modified xsi:type="dcterms:W3CDTF">2026-10-10T03:41:45Z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