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31" w:name="X89505ea9c44739e9642bac23e4292e5298bdf95"/>
    <w:p>
      <w:pPr>
        <w:pStyle w:val="Heading1"/>
      </w:pPr>
      <w:r>
        <w:t xml:space="preserve">Experiment Protocol: Urban Surface Water Quality Assessment</w:t>
      </w:r>
    </w:p>
    <w:p>
      <w:pPr>
        <w:pStyle w:val="FirstParagraph"/>
      </w:pPr>
      <w:r>
        <w:rPr>
          <w:bCs/>
          <w:b/>
        </w:rPr>
        <w:t xml:space="preserve">Document ID:</w:t>
      </w:r>
      <w:r>
        <w:t xml:space="preserve"> </w:t>
      </w:r>
      <w:r>
        <w:t xml:space="preserve">EE-MCR-2023-04</w:t>
      </w:r>
    </w:p>
    <w:p>
      <w:pPr>
        <w:pStyle w:val="BodyText"/>
      </w:pPr>
      <w:r>
        <w:rPr>
          <w:bCs/>
          <w:b/>
        </w:rPr>
        <w:t xml:space="preserve">Role:</w:t>
      </w:r>
      <w:r>
        <w:t xml:space="preserve"> </w:t>
      </w:r>
      <w:r>
        <w:t xml:space="preserve">Environmental Engineer</w:t>
      </w:r>
    </w:p>
    <w:p>
      <w:pPr>
        <w:pStyle w:val="BodyText"/>
      </w:pPr>
      <w:r>
        <w:rPr>
          <w:bCs/>
          <w:b/>
        </w:rPr>
        <w:t xml:space="preserve">Location:</w:t>
      </w:r>
      <w:r>
        <w:t xml:space="preserve"> </w:t>
      </w:r>
      <w:r>
        <w:t xml:space="preserve">United Kingdom Manchester (Greater Manchester Combined Authority)</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an Environmental Engineer conducting a comprehensive water quality assessment of urban surface water bodies in United Kingdom Manchester. The primary objective is to evaluate the impact of urban runoff and potential industrial discharge on the River Irwell and its tributaries.</w:t>
      </w:r>
    </w:p>
    <w:p>
      <w:pPr>
        <w:pStyle w:val="BodyText"/>
      </w:pPr>
      <w:r>
        <w:t xml:space="preserve">Given the industrial history and dense urbanization of Manchester, this protocol is designed to detect specific pollutants, including heavy metals, nitrates, and microplastics, in accordance with the UK Water Framework Directive (WFD) and Environment Agency guidelines.</w:t>
      </w:r>
    </w:p>
    <w:bookmarkEnd w:id="20"/>
    <w:bookmarkStart w:id="21" w:name="scope-and-site-selection"/>
    <w:p>
      <w:pPr>
        <w:pStyle w:val="Heading2"/>
      </w:pPr>
      <w:r>
        <w:t xml:space="preserve">2. Scope and Site Selection</w:t>
      </w:r>
    </w:p>
    <w:p>
      <w:pPr>
        <w:pStyle w:val="FirstParagraph"/>
      </w:pPr>
      <w:r>
        <w:t xml:space="preserve">The scope of this experiment covers three designated sampling sites within the Greater Manchester area:</w:t>
      </w:r>
    </w:p>
    <w:p>
      <w:pPr>
        <w:numPr>
          <w:ilvl w:val="0"/>
          <w:numId w:val="1001"/>
        </w:numPr>
        <w:pStyle w:val="Compact"/>
      </w:pPr>
      <w:r>
        <w:rPr>
          <w:bCs/>
          <w:b/>
        </w:rPr>
        <w:t xml:space="preserve">Site A:</w:t>
      </w:r>
      <w:r>
        <w:t xml:space="preserve"> </w:t>
      </w:r>
      <w:r>
        <w:t xml:space="preserve">River Irwell, near Castlefield (High urban density).</w:t>
      </w:r>
    </w:p>
    <w:p>
      <w:pPr>
        <w:numPr>
          <w:ilvl w:val="0"/>
          <w:numId w:val="1001"/>
        </w:numPr>
        <w:pStyle w:val="Compact"/>
      </w:pPr>
      <w:r>
        <w:rPr>
          <w:bCs/>
          <w:b/>
        </w:rPr>
        <w:t xml:space="preserve">Site B:</w:t>
      </w:r>
      <w:r>
        <w:t xml:space="preserve"> </w:t>
      </w:r>
      <w:r>
        <w:t xml:space="preserve">River Medlock, near Ancoats (Historical industrial zone).</w:t>
      </w:r>
    </w:p>
    <w:p>
      <w:pPr>
        <w:numPr>
          <w:ilvl w:val="0"/>
          <w:numId w:val="1001"/>
        </w:numPr>
        <w:pStyle w:val="Compact"/>
      </w:pPr>
      <w:r>
        <w:rPr>
          <w:bCs/>
          <w:b/>
        </w:rPr>
        <w:t xml:space="preserve">Site C:</w:t>
      </w:r>
      <w:r>
        <w:t xml:space="preserve"> </w:t>
      </w:r>
      <w:r>
        <w:t xml:space="preserve">River Mersey, near Salford Quays (Control site with lower direct runoff).</w:t>
      </w:r>
    </w:p>
    <w:p>
      <w:pPr>
        <w:pStyle w:val="FirstParagraph"/>
      </w:pPr>
      <w:r>
        <w:t xml:space="preserve">The Environmental Engineer must ensure that all sampling activities comply with local council regulations and Health and Safety Executive (HSE) standards applicable in the United Kingdom.</w:t>
      </w:r>
    </w:p>
    <w:bookmarkEnd w:id="21"/>
    <w:bookmarkStart w:id="22" w:name="safety-and-risk-assessment"/>
    <w:p>
      <w:pPr>
        <w:pStyle w:val="Heading2"/>
      </w:pPr>
      <w:r>
        <w:t xml:space="preserve">3. Safety and Risk Assessment</w:t>
      </w:r>
    </w:p>
    <w:p>
      <w:pPr>
        <w:pStyle w:val="FirstParagraph"/>
      </w:pPr>
      <w:r>
        <w:rPr>
          <w:bCs/>
          <w:b/>
        </w:rPr>
        <w:t xml:space="preserve">CRITICAL SAFETY NOTICE:</w:t>
      </w:r>
      <w:r>
        <w:t xml:space="preserve"> </w:t>
      </w:r>
      <w:r>
        <w:t xml:space="preserve">Working near water bodies in Manchester presents risks of drowning, slips, and exposure to hazardous substances. A dynamic risk assessment must be completed prior to every field visit.</w:t>
      </w:r>
    </w:p>
    <w:p>
      <w:pPr>
        <w:pStyle w:val="BodyText"/>
      </w:pPr>
      <w:r>
        <w:t xml:space="preserve">The Environmental Engineer is required to wear appropriate Personal Protective Equipment (PPE), including:</w:t>
      </w:r>
    </w:p>
    <w:p>
      <w:pPr>
        <w:numPr>
          <w:ilvl w:val="0"/>
          <w:numId w:val="1002"/>
        </w:numPr>
        <w:pStyle w:val="Compact"/>
      </w:pPr>
      <w:r>
        <w:t xml:space="preserve">High-visibility vest (EN ISO 20471 compliant).</w:t>
      </w:r>
    </w:p>
    <w:p>
      <w:pPr>
        <w:numPr>
          <w:ilvl w:val="0"/>
          <w:numId w:val="1002"/>
        </w:numPr>
        <w:pStyle w:val="Compact"/>
      </w:pPr>
      <w:r>
        <w:t xml:space="preserve">Safety boots with steel toe caps.</w:t>
      </w:r>
    </w:p>
    <w:p>
      <w:pPr>
        <w:numPr>
          <w:ilvl w:val="0"/>
          <w:numId w:val="1002"/>
        </w:numPr>
        <w:pStyle w:val="Compact"/>
      </w:pPr>
      <w:r>
        <w:t xml:space="preserve">Nitrile gloves.</w:t>
      </w:r>
    </w:p>
    <w:p>
      <w:pPr>
        <w:numPr>
          <w:ilvl w:val="0"/>
          <w:numId w:val="1002"/>
        </w:numPr>
        <w:pStyle w:val="Compact"/>
      </w:pPr>
      <w:r>
        <w:t xml:space="preserve">Safety goggles.</w:t>
      </w:r>
    </w:p>
    <w:p>
      <w:pPr>
        <w:pStyle w:val="FirstParagraph"/>
      </w:pPr>
      <w:r>
        <w:t xml:space="preserve">In the event of an emergency, the engineer must contact the local emergency services (999) and the site supervisor immediately.</w:t>
      </w:r>
    </w:p>
    <w:bookmarkEnd w:id="22"/>
    <w:bookmarkStart w:id="23" w:name="equipment-and-materials"/>
    <w:p>
      <w:pPr>
        <w:pStyle w:val="Heading2"/>
      </w:pPr>
      <w:r>
        <w:t xml:space="preserve">4. Equipment and Materials</w:t>
      </w:r>
    </w:p>
    <w:p>
      <w:pPr>
        <w:pStyle w:val="FirstParagraph"/>
      </w:pPr>
      <w:r>
        <w:t xml:space="preserve">The following equipment must be calibrated and verified before use: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Water Sampler</w:t>
            </w:r>
          </w:p>
        </w:tc>
        <w:tc>
          <w:tcPr/>
          <w:p>
            <w:pPr>
              <w:pStyle w:val="Compact"/>
              <w:jc w:val="left"/>
            </w:pPr>
            <w:r>
              <w:t xml:space="preserve">Stainless steel, depth-adjustable</w:t>
            </w:r>
          </w:p>
        </w:tc>
        <w:tc>
          <w:tcPr/>
          <w:p>
            <w:pPr>
              <w:pStyle w:val="Compact"/>
              <w:jc w:val="left"/>
            </w:pPr>
            <w:r>
              <w:t xml:space="preserve">2</w:t>
            </w:r>
          </w:p>
        </w:tc>
      </w:tr>
      <w:tr>
        <w:tc>
          <w:tcPr/>
          <w:p>
            <w:pPr>
              <w:pStyle w:val="Compact"/>
              <w:jc w:val="left"/>
            </w:pPr>
            <w:r>
              <w:t xml:space="preserve">pH Meter</w:t>
            </w:r>
          </w:p>
        </w:tc>
        <w:tc>
          <w:tcPr/>
          <w:p>
            <w:pPr>
              <w:pStyle w:val="Compact"/>
              <w:jc w:val="left"/>
            </w:pPr>
            <w:r>
              <w:t xml:space="preserve">Calibrated to UKAS standards</w:t>
            </w:r>
          </w:p>
        </w:tc>
        <w:tc>
          <w:tcPr/>
          <w:p>
            <w:pPr>
              <w:pStyle w:val="Compact"/>
              <w:jc w:val="left"/>
            </w:pPr>
            <w:r>
              <w:t xml:space="preserve">1</w:t>
            </w:r>
          </w:p>
        </w:tc>
      </w:tr>
      <w:tr>
        <w:tc>
          <w:tcPr/>
          <w:p>
            <w:pPr>
              <w:pStyle w:val="Compact"/>
              <w:jc w:val="left"/>
            </w:pPr>
            <w:r>
              <w:t xml:space="preserve">Dissolved Oxygen Probe</w:t>
            </w:r>
          </w:p>
        </w:tc>
        <w:tc>
          <w:tcPr/>
          <w:p>
            <w:pPr>
              <w:pStyle w:val="Compact"/>
              <w:jc w:val="left"/>
            </w:pPr>
            <w:r>
              <w:t xml:space="preserve">Optical sensor</w:t>
            </w:r>
          </w:p>
        </w:tc>
        <w:tc>
          <w:tcPr/>
          <w:p>
            <w:pPr>
              <w:pStyle w:val="Compact"/>
              <w:jc w:val="left"/>
            </w:pPr>
            <w:r>
              <w:t xml:space="preserve">1</w:t>
            </w:r>
          </w:p>
        </w:tc>
      </w:tr>
      <w:tr>
        <w:tc>
          <w:tcPr/>
          <w:p>
            <w:pPr>
              <w:pStyle w:val="Compact"/>
              <w:jc w:val="left"/>
            </w:pPr>
            <w:r>
              <w:t xml:space="preserve">Sample Bottles</w:t>
            </w:r>
          </w:p>
        </w:tc>
        <w:tc>
          <w:tcPr/>
          <w:p>
            <w:pPr>
              <w:pStyle w:val="Compact"/>
              <w:jc w:val="left"/>
            </w:pPr>
            <w:r>
              <w:t xml:space="preserve">500ml HDPE, acid-washed</w:t>
            </w:r>
          </w:p>
        </w:tc>
        <w:tc>
          <w:tcPr/>
          <w:p>
            <w:pPr>
              <w:pStyle w:val="Compact"/>
              <w:jc w:val="left"/>
            </w:pPr>
            <w:r>
              <w:t xml:space="preserve">30</w:t>
            </w:r>
          </w:p>
        </w:tc>
      </w:tr>
      <w:tr>
        <w:tc>
          <w:tcPr/>
          <w:p>
            <w:pPr>
              <w:pStyle w:val="Compact"/>
              <w:jc w:val="left"/>
            </w:pPr>
            <w:r>
              <w:t xml:space="preserve">Cool Box</w:t>
            </w:r>
          </w:p>
        </w:tc>
        <w:tc>
          <w:tcPr/>
          <w:p>
            <w:pPr>
              <w:pStyle w:val="Compact"/>
              <w:jc w:val="left"/>
            </w:pPr>
            <w:r>
              <w:t xml:space="preserve">Insulated, with ice packs (4°C)</w:t>
            </w:r>
          </w:p>
        </w:tc>
        <w:tc>
          <w:tcPr/>
          <w:p>
            <w:pPr>
              <w:pStyle w:val="Compact"/>
              <w:jc w:val="left"/>
            </w:pPr>
            <w:r>
              <w:t xml:space="preserve">1</w:t>
            </w:r>
          </w:p>
        </w:tc>
      </w:tr>
      <w:tr>
        <w:tc>
          <w:tcPr/>
          <w:p>
            <w:pPr>
              <w:pStyle w:val="Compact"/>
              <w:jc w:val="left"/>
            </w:pPr>
            <w:r>
              <w:t xml:space="preserve">GPS Device</w:t>
            </w:r>
          </w:p>
        </w:tc>
        <w:tc>
          <w:tcPr/>
          <w:p>
            <w:pPr>
              <w:pStyle w:val="Compact"/>
              <w:jc w:val="left"/>
            </w:pPr>
            <w:r>
              <w:t xml:space="preserve">High accuracy</w:t>
            </w:r>
          </w:p>
        </w:tc>
        <w:tc>
          <w:tcPr/>
          <w:p>
            <w:pPr>
              <w:pStyle w:val="Compact"/>
              <w:jc w:val="left"/>
            </w:pPr>
            <w:r>
              <w:t xml:space="preserve">1</w:t>
            </w:r>
          </w:p>
        </w:tc>
      </w:tr>
    </w:tbl>
    <w:bookmarkEnd w:id="23"/>
    <w:bookmarkStart w:id="27" w:name="methodology"/>
    <w:p>
      <w:pPr>
        <w:pStyle w:val="Heading2"/>
      </w:pPr>
      <w:r>
        <w:t xml:space="preserve">5. Methodology</w:t>
      </w:r>
    </w:p>
    <w:bookmarkStart w:id="24" w:name="pre-sampling-preparation"/>
    <w:p>
      <w:pPr>
        <w:pStyle w:val="Heading3"/>
      </w:pPr>
      <w:r>
        <w:t xml:space="preserve">5.1 Pre-Sampling Preparation</w:t>
      </w:r>
    </w:p>
    <w:p>
      <w:pPr>
        <w:pStyle w:val="FirstParagraph"/>
      </w:pPr>
      <w:r>
        <w:t xml:space="preserve">The Environmental Engineer must review the weather forecast for Manchester to avoid sampling during heavy rainfall, which can skew runoff data. All glassware and bottles must be rinsed three times with deionized water and then with the sample water before collection.</w:t>
      </w:r>
    </w:p>
    <w:bookmarkEnd w:id="24"/>
    <w:bookmarkStart w:id="25" w:name="field-sampling-procedure"/>
    <w:p>
      <w:pPr>
        <w:pStyle w:val="Heading3"/>
      </w:pPr>
      <w:r>
        <w:t xml:space="preserve">5.2 Field Sampling Procedure</w:t>
      </w:r>
    </w:p>
    <w:p>
      <w:pPr>
        <w:numPr>
          <w:ilvl w:val="0"/>
          <w:numId w:val="1003"/>
        </w:numPr>
        <w:pStyle w:val="Compact"/>
      </w:pPr>
      <w:r>
        <w:rPr>
          <w:bCs/>
          <w:b/>
        </w:rPr>
        <w:t xml:space="preserve">Site Arrival:</w:t>
      </w:r>
      <w:r>
        <w:t xml:space="preserve"> </w:t>
      </w:r>
      <w:r>
        <w:t xml:space="preserve">Record the GPS coordinates, time, and visual observations (e.g., turbidity, odor, presence of wildlife).</w:t>
      </w:r>
    </w:p>
    <w:p>
      <w:pPr>
        <w:numPr>
          <w:ilvl w:val="0"/>
          <w:numId w:val="1003"/>
        </w:numPr>
        <w:pStyle w:val="Compact"/>
      </w:pPr>
      <w:r>
        <w:rPr>
          <w:bCs/>
          <w:b/>
        </w:rPr>
        <w:t xml:space="preserve">In-Situ Measurements:</w:t>
      </w:r>
      <w:r>
        <w:t xml:space="preserve"> </w:t>
      </w:r>
      <w:r>
        <w:t xml:space="preserve">Measure pH, temperature, dissolved oxygen, and electrical conductivity directly in the water using calibrated probes. Record these values in the field logbook.</w:t>
      </w:r>
    </w:p>
    <w:p>
      <w:pPr>
        <w:numPr>
          <w:ilvl w:val="0"/>
          <w:numId w:val="1003"/>
        </w:numPr>
        <w:pStyle w:val="Compact"/>
      </w:pPr>
      <w:r>
        <w:rPr>
          <w:bCs/>
          <w:b/>
        </w:rPr>
        <w:t xml:space="preserve">Sample Collection:</w:t>
      </w:r>
      <w:r>
        <w:t xml:space="preserve"> </w:t>
      </w:r>
      <w:r>
        <w:t xml:space="preserve">Collect water samples from a depth of 30 cm below the surface, avoiding the immediate edge of the bank to prevent sediment disturbance.</w:t>
      </w:r>
    </w:p>
    <w:p>
      <w:pPr>
        <w:numPr>
          <w:ilvl w:val="0"/>
          <w:numId w:val="1003"/>
        </w:numPr>
        <w:pStyle w:val="Compact"/>
      </w:pPr>
      <w:r>
        <w:rPr>
          <w:bCs/>
          <w:b/>
        </w:rPr>
        <w:t xml:space="preserve">Labeling:</w:t>
      </w:r>
      <w:r>
        <w:t xml:space="preserve"> </w:t>
      </w:r>
      <w:r>
        <w:t xml:space="preserve">Immediately label each bottle with the Site ID, Date, Time, and Engineer's initials.</w:t>
      </w:r>
    </w:p>
    <w:p>
      <w:pPr>
        <w:numPr>
          <w:ilvl w:val="0"/>
          <w:numId w:val="1003"/>
        </w:numPr>
        <w:pStyle w:val="Compact"/>
      </w:pPr>
      <w:r>
        <w:rPr>
          <w:bCs/>
          <w:b/>
        </w:rPr>
        <w:t xml:space="preserve">Preservation:</w:t>
      </w:r>
      <w:r>
        <w:t xml:space="preserve"> </w:t>
      </w:r>
      <w:r>
        <w:t xml:space="preserve">Place samples in the cool box to maintain a temperature of 4°C. Samples for heavy metal analysis must be acidified with nitric acid (HNO3) to a pH &lt; 2.</w:t>
      </w:r>
    </w:p>
    <w:bookmarkEnd w:id="25"/>
    <w:bookmarkStart w:id="26" w:name="laboratory-analysis"/>
    <w:p>
      <w:pPr>
        <w:pStyle w:val="Heading3"/>
      </w:pPr>
      <w:r>
        <w:t xml:space="preserve">5.3 Laboratory Analysis</w:t>
      </w:r>
    </w:p>
    <w:p>
      <w:pPr>
        <w:pStyle w:val="FirstParagraph"/>
      </w:pPr>
      <w:r>
        <w:t xml:space="preserve">Upon return to the laboratory, samples will be analyzed using the following methods:</w:t>
      </w:r>
    </w:p>
    <w:p>
      <w:pPr>
        <w:numPr>
          <w:ilvl w:val="0"/>
          <w:numId w:val="1004"/>
        </w:numPr>
        <w:pStyle w:val="Compact"/>
      </w:pPr>
      <w:r>
        <w:rPr>
          <w:bCs/>
          <w:b/>
        </w:rPr>
        <w:t xml:space="preserve">Heavy Metals:</w:t>
      </w:r>
      <w:r>
        <w:t xml:space="preserve"> </w:t>
      </w:r>
      <w:r>
        <w:t xml:space="preserve">Inductively Coupled Plasma Mass Spectrometry (ICP-MS) for Lead, Cadmium, and Zinc.</w:t>
      </w:r>
    </w:p>
    <w:p>
      <w:pPr>
        <w:numPr>
          <w:ilvl w:val="0"/>
          <w:numId w:val="1004"/>
        </w:numPr>
        <w:pStyle w:val="Compact"/>
      </w:pPr>
      <w:r>
        <w:rPr>
          <w:bCs/>
          <w:b/>
        </w:rPr>
        <w:t xml:space="preserve">Nutrients:</w:t>
      </w:r>
      <w:r>
        <w:t xml:space="preserve"> </w:t>
      </w:r>
      <w:r>
        <w:t xml:space="preserve">Colorimetric analysis for Nitrates and Phosphates.</w:t>
      </w:r>
    </w:p>
    <w:p>
      <w:pPr>
        <w:numPr>
          <w:ilvl w:val="0"/>
          <w:numId w:val="1004"/>
        </w:numPr>
        <w:pStyle w:val="Compact"/>
      </w:pPr>
      <w:r>
        <w:rPr>
          <w:bCs/>
          <w:b/>
        </w:rPr>
        <w:t xml:space="preserve">Microplastics:</w:t>
      </w:r>
      <w:r>
        <w:t xml:space="preserve"> </w:t>
      </w:r>
      <w:r>
        <w:t xml:space="preserve">Filtration and microscopic identification.</w:t>
      </w:r>
    </w:p>
    <w:bookmarkEnd w:id="26"/>
    <w:bookmarkEnd w:id="27"/>
    <w:bookmarkStart w:id="28" w:name="data-management-and-reporting"/>
    <w:p>
      <w:pPr>
        <w:pStyle w:val="Heading2"/>
      </w:pPr>
      <w:r>
        <w:t xml:space="preserve">6. Data Management and Reporting</w:t>
      </w:r>
    </w:p>
    <w:p>
      <w:pPr>
        <w:pStyle w:val="FirstParagraph"/>
      </w:pPr>
      <w:r>
        <w:t xml:space="preserve">All data must be recorded digitally and backed up securely. The Environmental Engineer is responsible for compiling a final report that compares the results against the Environmental Quality Standards (EQS) set by the UK Environment Agency. The report must include:</w:t>
      </w:r>
    </w:p>
    <w:p>
      <w:pPr>
        <w:numPr>
          <w:ilvl w:val="0"/>
          <w:numId w:val="1005"/>
        </w:numPr>
        <w:pStyle w:val="Compact"/>
      </w:pPr>
      <w:r>
        <w:t xml:space="preserve">Executive Summary.</w:t>
      </w:r>
    </w:p>
    <w:p>
      <w:pPr>
        <w:numPr>
          <w:ilvl w:val="0"/>
          <w:numId w:val="1005"/>
        </w:numPr>
        <w:pStyle w:val="Compact"/>
      </w:pPr>
      <w:r>
        <w:t xml:space="preserve">Methodology details.</w:t>
      </w:r>
    </w:p>
    <w:p>
      <w:pPr>
        <w:numPr>
          <w:ilvl w:val="0"/>
          <w:numId w:val="1005"/>
        </w:numPr>
        <w:pStyle w:val="Compact"/>
      </w:pPr>
      <w:r>
        <w:t xml:space="preserve">Data tables and graphs.</w:t>
      </w:r>
    </w:p>
    <w:p>
      <w:pPr>
        <w:numPr>
          <w:ilvl w:val="0"/>
          <w:numId w:val="1005"/>
        </w:numPr>
        <w:pStyle w:val="Compact"/>
      </w:pPr>
      <w:r>
        <w:t xml:space="preserve">Risk assessment based on findings.</w:t>
      </w:r>
    </w:p>
    <w:p>
      <w:pPr>
        <w:numPr>
          <w:ilvl w:val="0"/>
          <w:numId w:val="1005"/>
        </w:numPr>
        <w:pStyle w:val="Compact"/>
      </w:pPr>
      <w:r>
        <w:t xml:space="preserve">Recommendations for remediation if standards are exceeded.</w:t>
      </w:r>
    </w:p>
    <w:bookmarkEnd w:id="28"/>
    <w:bookmarkStart w:id="29" w:name="quality-assurance-and-control"/>
    <w:p>
      <w:pPr>
        <w:pStyle w:val="Heading2"/>
      </w:pPr>
      <w:r>
        <w:t xml:space="preserve">7. Quality Assurance and Control</w:t>
      </w:r>
    </w:p>
    <w:p>
      <w:pPr>
        <w:pStyle w:val="FirstParagraph"/>
      </w:pPr>
      <w:r>
        <w:t xml:space="preserve">To ensure the reliability of the data, the following QA/QC measures will be implemented:</w:t>
      </w:r>
    </w:p>
    <w:p>
      <w:pPr>
        <w:numPr>
          <w:ilvl w:val="0"/>
          <w:numId w:val="1006"/>
        </w:numPr>
        <w:pStyle w:val="Compact"/>
      </w:pPr>
      <w:r>
        <w:t xml:space="preserve">Collection of a field blank sample (deionized water exposed to the environment).</w:t>
      </w:r>
    </w:p>
    <w:p>
      <w:pPr>
        <w:numPr>
          <w:ilvl w:val="0"/>
          <w:numId w:val="1006"/>
        </w:numPr>
        <w:pStyle w:val="Compact"/>
      </w:pPr>
      <w:r>
        <w:t xml:space="preserve">Duplicate sampling at one site per visit.</w:t>
      </w:r>
    </w:p>
    <w:p>
      <w:pPr>
        <w:numPr>
          <w:ilvl w:val="0"/>
          <w:numId w:val="1006"/>
        </w:numPr>
        <w:pStyle w:val="Compact"/>
      </w:pPr>
      <w:r>
        <w:t xml:space="preserve">Regular calibration checks of all instruments.</w:t>
      </w:r>
    </w:p>
    <w:bookmarkEnd w:id="29"/>
    <w:bookmarkStart w:id="30" w:name="conclusion"/>
    <w:p>
      <w:pPr>
        <w:pStyle w:val="Heading2"/>
      </w:pPr>
      <w:r>
        <w:t xml:space="preserve">8. Conclusion</w:t>
      </w:r>
    </w:p>
    <w:p>
      <w:pPr>
        <w:pStyle w:val="FirstParagraph"/>
      </w:pPr>
      <w:r>
        <w:t xml:space="preserve">This Experiment Protocol provides a robust framework for an Environmental Engineer to assess water quality in United Kingdom Manchester. Adherence to this protocol ensures that the data collected is accurate, reliable, and compliant with national regulations, ultimately contributing to the protection and improvement of Manchester's aquatic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2026-10-10T03:42:56Z</dcterms:created>
  <dcterms:modified xsi:type="dcterms:W3CDTF">2026-10-10T03:42:56Z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