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p>
    <w:p>
      <w:pPr>
        <w:pStyle w:val="FirstParagraph"/>
      </w:pPr>
      <w:r>
        <w:rPr>
          <w:bCs/>
          <w:b/>
        </w:rPr>
        <w:t xml:space="preserve">Document ID:</w:t>
      </w:r>
      <w:r>
        <w:t xml:space="preserve"> </w:t>
      </w:r>
      <w:r>
        <w:t xml:space="preserve">EP-CHI-2023-004</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Chicago</w:t>
      </w:r>
      <w:r>
        <w:br/>
      </w:r>
      <w:r>
        <w:rPr>
          <w:bCs/>
          <w:b/>
        </w:rPr>
        <w:t xml:space="preserve">Department:</w:t>
      </w:r>
      <w:r>
        <w:t xml:space="preserve"> </w:t>
      </w:r>
      <w:r>
        <w:t xml:space="preserve">Environmental Engineering &amp; Compliance</w:t>
      </w:r>
      <w:r>
        <w:br/>
      </w:r>
      <w:r>
        <w:rPr>
          <w:bCs/>
          <w:b/>
        </w:rPr>
        <w:t xml:space="preserve">Classification:</w:t>
      </w:r>
      <w:r>
        <w:t xml:space="preserve"> </w:t>
      </w:r>
      <w:r>
        <w:t xml:space="preserve">Internal Use Only</w:t>
      </w:r>
    </w:p>
    <w:bookmarkStart w:id="32" w:name="X0062479f925a84c023710e8e1579fcde361118a"/>
    <w:p>
      <w:pPr>
        <w:pStyle w:val="Heading1"/>
      </w:pPr>
      <w:r>
        <w:t xml:space="preserve">Experiment Protocol: Assessment of Combined Sewer Overflow (CSO) Mitigation Efficacy in the Chicago River Basin</w:t>
      </w:r>
    </w:p>
    <w:bookmarkStart w:id="20" w:name="purpose-and-scope"/>
    <w:p>
      <w:pPr>
        <w:pStyle w:val="Heading2"/>
      </w:pPr>
      <w:r>
        <w:t xml:space="preserve">1.0 Purpose and Scope</w:t>
      </w:r>
    </w:p>
    <w:p>
      <w:pPr>
        <w:pStyle w:val="FirstParagraph"/>
      </w:pPr>
      <w:r>
        <w:t xml:space="preserve">This Experiment Protocol outlines the standardized procedures for evaluating the effectiveness of green infrastructure interventions designed to mitigate Combined Sewer Overflows (CSOs) within the metropolitan area of United States Chicago. As an Environmental Engineer operating within this jurisdiction, the primary objective is to quantify the reduction of total suspended solids (TSS), fecal coliform bacteria, and heavy metals in stormwater runoff following the implementation of bioswales and permeable pavements.</w:t>
      </w:r>
    </w:p>
    <w:p>
      <w:pPr>
        <w:pStyle w:val="BodyText"/>
      </w:pPr>
      <w:r>
        <w:t xml:space="preserve">The scope of this experiment is limited to three designated pilot sites within the City of Chicago, specifically targeting areas prone to flooding during the spring thaw and heavy summer precipitation events typical of the region. This protocol ensures compliance with the Clean Water Act, Illinois Environmental Protection Agency (IEPA) regulations, and the City of Chicago Department of Water Management (DWM) standards.</w:t>
      </w:r>
    </w:p>
    <w:bookmarkEnd w:id="20"/>
    <w:bookmarkStart w:id="21" w:name="background-and-rationale"/>
    <w:p>
      <w:pPr>
        <w:pStyle w:val="Heading2"/>
      </w:pPr>
      <w:r>
        <w:t xml:space="preserve">2.0 Background and Rationale</w:t>
      </w:r>
    </w:p>
    <w:p>
      <w:pPr>
        <w:pStyle w:val="FirstParagraph"/>
      </w:pPr>
      <w:r>
        <w:t xml:space="preserve">United States Chicago possesses one of the largest combined sewer systems in the world. During significant rainfall events, the volume of water often exceeds the capacity of the treatment plants, leading to CSOs that discharge untreated wastewater directly into the Chicago River and Lake Michigan. This poses a severe risk to public health and aquatic ecosystems.</w:t>
      </w:r>
    </w:p>
    <w:p>
      <w:pPr>
        <w:pStyle w:val="BodyText"/>
      </w:pPr>
      <w:r>
        <w:t xml:space="preserve">The Environmental Engineer responsible for this project has identified a critical need to validate the performance of newly installed Low Impact Development (LID) structures. This experiment aims to provide empirical data to support future urban planning decisions and regulatory reporting requirements specific to the Chicago metropolitan area.</w:t>
      </w:r>
    </w:p>
    <w:bookmarkEnd w:id="21"/>
    <w:bookmarkStart w:id="24" w:name="experimental-design"/>
    <w:p>
      <w:pPr>
        <w:pStyle w:val="Heading2"/>
      </w:pPr>
      <w:r>
        <w:t xml:space="preserve">3.0 Experimental Design</w:t>
      </w:r>
    </w:p>
    <w:bookmarkStart w:id="22" w:name="study-sites"/>
    <w:p>
      <w:pPr>
        <w:pStyle w:val="Heading3"/>
      </w:pPr>
      <w:r>
        <w:t xml:space="preserve">3.1 Study Sites</w:t>
      </w:r>
    </w:p>
    <w:p>
      <w:pPr>
        <w:pStyle w:val="FirstParagraph"/>
      </w:pPr>
      <w:r>
        <w:t xml:space="preserve">Three distinct sites have been selected based on historical CSO frequency and hydrological characteristics:</w:t>
      </w:r>
    </w:p>
    <w:p>
      <w:pPr>
        <w:numPr>
          <w:ilvl w:val="0"/>
          <w:numId w:val="1001"/>
        </w:numPr>
        <w:pStyle w:val="Compact"/>
      </w:pPr>
      <w:r>
        <w:rPr>
          <w:bCs/>
          <w:b/>
        </w:rPr>
        <w:t xml:space="preserve">Site A:</w:t>
      </w:r>
      <w:r>
        <w:t xml:space="preserve"> </w:t>
      </w:r>
      <w:r>
        <w:t xml:space="preserve">Near West Side (High-density residential, impervious surface coverage &gt;80%).</w:t>
      </w:r>
    </w:p>
    <w:p>
      <w:pPr>
        <w:numPr>
          <w:ilvl w:val="0"/>
          <w:numId w:val="1001"/>
        </w:numPr>
        <w:pStyle w:val="Compact"/>
      </w:pPr>
      <w:r>
        <w:rPr>
          <w:bCs/>
          <w:b/>
        </w:rPr>
        <w:t xml:space="preserve">Site B:</w:t>
      </w:r>
      <w:r>
        <w:t xml:space="preserve"> </w:t>
      </w:r>
      <w:r>
        <w:t xml:space="preserve">Lincoln Park (Mixed-use, moderate impervious coverage, existing bioswale infrastructure).</w:t>
      </w:r>
    </w:p>
    <w:p>
      <w:pPr>
        <w:numPr>
          <w:ilvl w:val="0"/>
          <w:numId w:val="1001"/>
        </w:numPr>
        <w:pStyle w:val="Compact"/>
      </w:pPr>
      <w:r>
        <w:rPr>
          <w:bCs/>
          <w:b/>
        </w:rPr>
        <w:t xml:space="preserve">Site C:</w:t>
      </w:r>
      <w:r>
        <w:t xml:space="preserve"> </w:t>
      </w:r>
      <w:r>
        <w:t xml:space="preserve">Pilsen (Industrial/Commercial, high potential for heavy metal contamination).</w:t>
      </w:r>
    </w:p>
    <w:bookmarkEnd w:id="22"/>
    <w:bookmarkStart w:id="23" w:name="control-and-variables"/>
    <w:p>
      <w:pPr>
        <w:pStyle w:val="Heading3"/>
      </w:pPr>
      <w:r>
        <w:t xml:space="preserve">3.2 Control and Variables</w:t>
      </w:r>
    </w:p>
    <w:p>
      <w:pPr>
        <w:pStyle w:val="FirstParagraph"/>
      </w:pPr>
      <w:r>
        <w:t xml:space="preserve">The independent variable is the presence and type of green infrastructure (bioswales vs. permeable pavement). The dependent variables include water quality parameters (TSS, pH, dissolved oxygen, fecal coliform counts, lead, and copper concentrations). Control samples will be collected from upstream points before runoff enters the mitigation structures.</w:t>
      </w:r>
    </w:p>
    <w:bookmarkEnd w:id="23"/>
    <w:bookmarkEnd w:id="24"/>
    <w:bookmarkStart w:id="28" w:name="methodology"/>
    <w:p>
      <w:pPr>
        <w:pStyle w:val="Heading2"/>
      </w:pPr>
      <w:r>
        <w:t xml:space="preserve">4.0 Methodology</w:t>
      </w:r>
    </w:p>
    <w:bookmarkStart w:id="25" w:name="sampling-strategy"/>
    <w:p>
      <w:pPr>
        <w:pStyle w:val="Heading3"/>
      </w:pPr>
      <w:r>
        <w:t xml:space="preserve">4.1 Sampling Strategy</w:t>
      </w:r>
    </w:p>
    <w:p>
      <w:pPr>
        <w:pStyle w:val="FirstParagraph"/>
      </w:pPr>
      <w:r>
        <w:t xml:space="preserve">Sampling will occur during storm events exceeding 0.5 inches of rainfall within a 24-hour period. This threshold is consistent with Chicago DWM reporting criteria. Flow-proportional composite sampling will be utilized to capture the variability of pollutant loads throughout the duration of the storm event.</w:t>
      </w:r>
    </w:p>
    <w:p>
      <w:pPr>
        <w:pStyle w:val="BodyText"/>
      </w:pPr>
      <w:r>
        <w:t xml:space="preserve">The Environmental Engineer must ensure that all sampling equipment is calibrated according to manufacturer specifications and EPA Standard Methods for the Examination of Water and Wastewater.</w:t>
      </w:r>
    </w:p>
    <w:bookmarkEnd w:id="25"/>
    <w:bookmarkStart w:id="26" w:name="sample-collection-procedures"/>
    <w:p>
      <w:pPr>
        <w:pStyle w:val="Heading3"/>
      </w:pPr>
      <w:r>
        <w:t xml:space="preserve">4.2 Sample Collection Procedures</w:t>
      </w:r>
    </w:p>
    <w:p>
      <w:pPr>
        <w:numPr>
          <w:ilvl w:val="0"/>
          <w:numId w:val="1002"/>
        </w:numPr>
        <w:pStyle w:val="Compact"/>
      </w:pPr>
      <w:r>
        <w:t xml:space="preserve">Deploy automated samplers at designated inlets and outlets of the green infrastructure units prior to the forecasted storm event.</w:t>
      </w:r>
    </w:p>
    <w:p>
      <w:pPr>
        <w:numPr>
          <w:ilvl w:val="0"/>
          <w:numId w:val="1002"/>
        </w:numPr>
        <w:pStyle w:val="Compact"/>
      </w:pPr>
      <w:r>
        <w:t xml:space="preserve">Collect grab samples at the beginning, peak, and end of the storm event for immediate field analysis (pH, temperature, conductivity).</w:t>
      </w:r>
    </w:p>
    <w:p>
      <w:pPr>
        <w:numPr>
          <w:ilvl w:val="0"/>
          <w:numId w:val="1002"/>
        </w:numPr>
        <w:pStyle w:val="Compact"/>
      </w:pPr>
      <w:r>
        <w:t xml:space="preserve">Preserve samples for laboratory analysis by cooling to 4°C and adding appropriate preservatives (e.g., sulfuric acid for metals) within two hours of collection.</w:t>
      </w:r>
    </w:p>
    <w:p>
      <w:pPr>
        <w:numPr>
          <w:ilvl w:val="0"/>
          <w:numId w:val="1002"/>
        </w:numPr>
        <w:pStyle w:val="Compact"/>
      </w:pPr>
      <w:r>
        <w:t xml:space="preserve">Label all samples with a unique identifier including site code, date, time, and sampler ID.</w:t>
      </w:r>
    </w:p>
    <w:bookmarkEnd w:id="26"/>
    <w:bookmarkStart w:id="27" w:name="laboratory-analysis"/>
    <w:p>
      <w:pPr>
        <w:pStyle w:val="Heading3"/>
      </w:pPr>
      <w:r>
        <w:t xml:space="preserve">4.3 Laboratory Analysis</w:t>
      </w:r>
    </w:p>
    <w:p>
      <w:pPr>
        <w:pStyle w:val="FirstParagraph"/>
      </w:pPr>
      <w:r>
        <w:t xml:space="preserve">All samples will be analyzed at an Illinois-licensed environmental laboratory. The following parameters will be tested: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w:t>
            </w:r>
          </w:p>
        </w:tc>
        <w:tc>
          <w:tcPr/>
          <w:p>
            <w:pPr>
              <w:pStyle w:val="Compact"/>
              <w:jc w:val="left"/>
            </w:pPr>
            <w:r>
              <w:t xml:space="preserve">Reporting Limit</w:t>
            </w:r>
          </w:p>
        </w:tc>
      </w:tr>
      <w:tr>
        <w:tc>
          <w:tcPr/>
          <w:p>
            <w:pPr>
              <w:pStyle w:val="Compact"/>
              <w:jc w:val="left"/>
            </w:pPr>
            <w:r>
              <w:t xml:space="preserve">Total Suspended Solids (TSS)</w:t>
            </w:r>
          </w:p>
        </w:tc>
        <w:tc>
          <w:tcPr/>
          <w:p>
            <w:pPr>
              <w:pStyle w:val="Compact"/>
              <w:jc w:val="left"/>
            </w:pPr>
            <w:r>
              <w:t xml:space="preserve">EPA Method 160.2</w:t>
            </w:r>
          </w:p>
        </w:tc>
        <w:tc>
          <w:tcPr/>
          <w:p>
            <w:pPr>
              <w:pStyle w:val="Compact"/>
              <w:jc w:val="left"/>
            </w:pPr>
            <w:r>
              <w:t xml:space="preserve">1 mg/L</w:t>
            </w:r>
          </w:p>
        </w:tc>
      </w:tr>
      <w:tr>
        <w:tc>
          <w:tcPr/>
          <w:p>
            <w:pPr>
              <w:pStyle w:val="Compact"/>
              <w:jc w:val="left"/>
            </w:pPr>
            <w:r>
              <w:t xml:space="preserve">Fecal Coliform</w:t>
            </w:r>
          </w:p>
        </w:tc>
        <w:tc>
          <w:tcPr/>
          <w:p>
            <w:pPr>
              <w:pStyle w:val="Compact"/>
              <w:jc w:val="left"/>
            </w:pPr>
            <w:r>
              <w:t xml:space="preserve">EPA Method 1603</w:t>
            </w:r>
          </w:p>
        </w:tc>
        <w:tc>
          <w:tcPr/>
          <w:p>
            <w:pPr>
              <w:pStyle w:val="Compact"/>
              <w:jc w:val="left"/>
            </w:pPr>
            <w:r>
              <w:t xml:space="preserve">1 CFU/100 mL</w:t>
            </w:r>
          </w:p>
        </w:tc>
      </w:tr>
      <w:tr>
        <w:tc>
          <w:tcPr/>
          <w:p>
            <w:pPr>
              <w:pStyle w:val="Compact"/>
              <w:jc w:val="left"/>
            </w:pPr>
            <w:r>
              <w:t xml:space="preserve">Lead (Pb)</w:t>
            </w:r>
          </w:p>
        </w:tc>
        <w:tc>
          <w:tcPr/>
          <w:p>
            <w:pPr>
              <w:pStyle w:val="Compact"/>
              <w:jc w:val="left"/>
            </w:pPr>
            <w:r>
              <w:t xml:space="preserve">EPA Method 200.8</w:t>
            </w:r>
          </w:p>
        </w:tc>
        <w:tc>
          <w:tcPr/>
          <w:p>
            <w:pPr>
              <w:pStyle w:val="Compact"/>
              <w:jc w:val="left"/>
            </w:pPr>
            <w:r>
              <w:t xml:space="preserve">0.001 mg/L</w:t>
            </w:r>
          </w:p>
        </w:tc>
      </w:tr>
      <w:tr>
        <w:tc>
          <w:tcPr/>
          <w:p>
            <w:pPr>
              <w:pStyle w:val="Compact"/>
              <w:jc w:val="left"/>
            </w:pPr>
            <w:r>
              <w:t xml:space="preserve">Copper (Cu)</w:t>
            </w:r>
          </w:p>
        </w:tc>
        <w:tc>
          <w:tcPr/>
          <w:p>
            <w:pPr>
              <w:pStyle w:val="Compact"/>
              <w:jc w:val="left"/>
            </w:pPr>
            <w:r>
              <w:t xml:space="preserve">EPA Method 200.8</w:t>
            </w:r>
          </w:p>
        </w:tc>
        <w:tc>
          <w:tcPr/>
          <w:p>
            <w:pPr>
              <w:pStyle w:val="Compact"/>
              <w:jc w:val="left"/>
            </w:pPr>
            <w:r>
              <w:t xml:space="preserve">0.001 mg/L</w:t>
            </w:r>
          </w:p>
        </w:tc>
      </w:tr>
    </w:tbl>
    <w:bookmarkEnd w:id="27"/>
    <w:bookmarkEnd w:id="28"/>
    <w:bookmarkStart w:id="29" w:name="data-management-and-analysis"/>
    <w:p>
      <w:pPr>
        <w:pStyle w:val="Heading2"/>
      </w:pPr>
      <w:r>
        <w:t xml:space="preserve">5.0 Data Management and Analysis</w:t>
      </w:r>
    </w:p>
    <w:p>
      <w:pPr>
        <w:pStyle w:val="FirstParagraph"/>
      </w:pPr>
      <w:r>
        <w:t xml:space="preserve">Data will be recorded in a secure, cloud-based database accessible only to authorized Environmental Engineers and project managers. Statistical analysis will be performed using R or Python to compare pre- and post-treatment water quality metrics. A paired t-test will be used to determine the statistical significance of pollutant removal efficiencies.</w:t>
      </w:r>
    </w:p>
    <w:p>
      <w:pPr>
        <w:pStyle w:val="BodyText"/>
      </w:pPr>
      <w:r>
        <w:t xml:space="preserve">Results will be benchmarked against the Chicago Water Plan goals and IEPA water quality standards. Any data anomalies or equipment malfunctions must be documented in the field log and excluded from the final analysis with justification.</w:t>
      </w:r>
    </w:p>
    <w:bookmarkEnd w:id="29"/>
    <w:bookmarkStart w:id="30" w:name="Xb2392c270a364cc9ad92bf40e7d2ae289f93bbf"/>
    <w:p>
      <w:pPr>
        <w:pStyle w:val="Heading2"/>
      </w:pPr>
      <w:r>
        <w:t xml:space="preserve">6.0 Health, Safety, and Environmental (HSE) Considerations</w:t>
      </w:r>
    </w:p>
    <w:p>
      <w:pPr>
        <w:pStyle w:val="FirstParagraph"/>
      </w:pPr>
      <w:r>
        <w:t xml:space="preserve">Field personnel must adhere to strict safety protocols when working near storm drains and waterways in United States Chicago. This includes:</w:t>
      </w:r>
    </w:p>
    <w:p>
      <w:pPr>
        <w:numPr>
          <w:ilvl w:val="0"/>
          <w:numId w:val="1003"/>
        </w:numPr>
        <w:pStyle w:val="Compact"/>
      </w:pPr>
      <w:r>
        <w:t xml:space="preserve">Wearing appropriate Personal Protective Equipment (PPE): high-visibility vests, waterproof boots, nitrile gloves, and N95 respirators if aerosolized contaminants are suspected.</w:t>
      </w:r>
    </w:p>
    <w:p>
      <w:pPr>
        <w:numPr>
          <w:ilvl w:val="0"/>
          <w:numId w:val="1003"/>
        </w:numPr>
        <w:pStyle w:val="Compact"/>
      </w:pPr>
      <w:r>
        <w:t xml:space="preserve">Conducting a Job Hazard Analysis (JHA) before each field visit.</w:t>
      </w:r>
    </w:p>
    <w:p>
      <w:pPr>
        <w:numPr>
          <w:ilvl w:val="0"/>
          <w:numId w:val="1003"/>
        </w:numPr>
        <w:pStyle w:val="Compact"/>
      </w:pPr>
      <w:r>
        <w:t xml:space="preserve">Ensuring two-person teams are present during all sampling activities to mitigate risks associated with confined spaces and slippery surfaces.</w:t>
      </w:r>
    </w:p>
    <w:p>
      <w:pPr>
        <w:numPr>
          <w:ilvl w:val="0"/>
          <w:numId w:val="1003"/>
        </w:numPr>
        <w:pStyle w:val="Compact"/>
      </w:pPr>
      <w:r>
        <w:t xml:space="preserve">Following Chicago Department of Public Health guidelines for handling potentially contaminated water.</w:t>
      </w:r>
    </w:p>
    <w:bookmarkEnd w:id="30"/>
    <w:bookmarkStart w:id="31" w:name="reporting-and-deliverables"/>
    <w:p>
      <w:pPr>
        <w:pStyle w:val="Heading2"/>
      </w:pPr>
      <w:r>
        <w:t xml:space="preserve">7.0 Reporting and Deliverables</w:t>
      </w:r>
    </w:p>
    <w:p>
      <w:pPr>
        <w:pStyle w:val="FirstParagraph"/>
      </w:pPr>
      <w:r>
        <w:t xml:space="preserve">Upon completion of the experimental phase, the Environmental Engineer will compile a comprehensive report detailing the methodology, results, and conclusions. This report will include:</w:t>
      </w:r>
    </w:p>
    <w:p>
      <w:pPr>
        <w:numPr>
          <w:ilvl w:val="0"/>
          <w:numId w:val="1004"/>
        </w:numPr>
        <w:pStyle w:val="Compact"/>
      </w:pPr>
      <w:r>
        <w:t xml:space="preserve">Executive summary of findings.</w:t>
      </w:r>
    </w:p>
    <w:p>
      <w:pPr>
        <w:numPr>
          <w:ilvl w:val="0"/>
          <w:numId w:val="1004"/>
        </w:numPr>
        <w:pStyle w:val="Compact"/>
      </w:pPr>
      <w:r>
        <w:t xml:space="preserve">Detailed data tables and graphical representations of water quality trends.</w:t>
      </w:r>
    </w:p>
    <w:p>
      <w:pPr>
        <w:numPr>
          <w:ilvl w:val="0"/>
          <w:numId w:val="1004"/>
        </w:numPr>
        <w:pStyle w:val="Compact"/>
      </w:pPr>
      <w:r>
        <w:t xml:space="preserve">Recommendations for scaling successful green infrastructure solutions across Chicago.</w:t>
      </w:r>
    </w:p>
    <w:p>
      <w:pPr>
        <w:numPr>
          <w:ilvl w:val="0"/>
          <w:numId w:val="1004"/>
        </w:numPr>
        <w:pStyle w:val="Compact"/>
      </w:pPr>
      <w:r>
        <w:t xml:space="preserve">Compliance statement regarding IEPA and DWM regulations.</w:t>
      </w:r>
    </w:p>
    <w:p>
      <w:pPr>
        <w:pStyle w:val="FirstParagraph"/>
      </w:pPr>
      <w:r>
        <w:t xml:space="preserve">The final report will be submitted to the City of Chicago Department of Water Management and relevant stakeholders within 30 days of data collection completion.</w:t>
      </w:r>
    </w:p>
    <w:bookmarkEnd w:id="31"/>
    <w:p>
      <w:pPr>
        <w:pStyle w:val="BodyText"/>
      </w:pPr>
      <w:r>
        <w:rPr>
          <w:bCs/>
          <w:b/>
        </w:rPr>
        <w:t xml:space="preserve">Prepared By:</w:t>
      </w:r>
      <w:r>
        <w:br/>
      </w:r>
    </w:p>
    <w:p>
      <w:pPr>
        <w:pStyle w:val="BodyText"/>
      </w:pPr>
      <w:r>
        <w:t xml:space="preserve">Environmental Engineer Signature</w:t>
      </w:r>
    </w:p>
    <w:p>
      <w:pPr>
        <w:pStyle w:val="BodyText"/>
      </w:pPr>
      <w:r>
        <w:br/>
      </w:r>
      <w:r>
        <w:t xml:space="preserve">Date: _______________</w:t>
      </w:r>
    </w:p>
    <w:p>
      <w:pPr>
        <w:pStyle w:val="BodyText"/>
      </w:pPr>
      <w:r>
        <w:rPr>
          <w:bCs/>
          <w:b/>
        </w:rPr>
        <w:t xml:space="preserve">Approved By:</w:t>
      </w:r>
      <w:r>
        <w:br/>
      </w:r>
    </w:p>
    <w:p>
      <w:pPr>
        <w:pStyle w:val="BodyText"/>
      </w:pPr>
      <w:r>
        <w:t xml:space="preserve">Project Manager Signature</w:t>
      </w:r>
    </w:p>
    <w:p>
      <w:pPr>
        <w:pStyle w:val="BodyText"/>
      </w:pPr>
      <w:r>
        <w:br/>
      </w:r>
      <w:r>
        <w:t xml:space="preserve">Date: 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dc:title>
  <dc:creator/>
  <dc:language>en</dc:language>
  <cp:keywords/>
  <dcterms:created xsi:type="dcterms:W3CDTF">2026-10-10T01:14:50Z</dcterms:created>
  <dcterms:modified xsi:type="dcterms:W3CDTF">2026-10-10T01:14:50Z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