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Air</w:t>
      </w:r>
      <w:r>
        <w:t xml:space="preserve"> </w:t>
      </w:r>
      <w:r>
        <w:t xml:space="preserve">Quality</w:t>
      </w:r>
      <w:r>
        <w:t xml:space="preserve"> </w:t>
      </w:r>
      <w:r>
        <w:t xml:space="preserve">Assessment</w:t>
      </w:r>
    </w:p>
    <w:bookmarkStart w:id="20" w:name="Xe8b0ef9e65ce2c224caab03ff7811e2fdcf6353"/>
    <w:p>
      <w:pPr>
        <w:pStyle w:val="Heading1"/>
      </w:pPr>
      <w:r>
        <w:t xml:space="preserve">Experiment Protocol: Urban Air Quality Assessment</w:t>
      </w:r>
    </w:p>
    <w:p>
      <w:pPr>
        <w:pStyle w:val="FirstParagraph"/>
      </w:pPr>
      <w:r>
        <w:rPr>
          <w:bCs/>
          <w:b/>
        </w:rPr>
        <w:t xml:space="preserve">Project Title:</w:t>
      </w:r>
      <w:r>
        <w:t xml:space="preserve"> </w:t>
      </w:r>
      <w:r>
        <w:t xml:space="preserve">Comparative Analysis of Particulate Matter (PM2.5) and Nitrogen Dioxide (NO2) in High-Density Urban Zones</w:t>
      </w:r>
    </w:p>
    <w:p>
      <w:pPr>
        <w:pStyle w:val="BodyText"/>
      </w:pPr>
      <w:r>
        <w:rPr>
          <w:bCs/>
          <w:b/>
        </w:rPr>
        <w:t xml:space="preserve">Location:</w:t>
      </w:r>
      <w:r>
        <w:t xml:space="preserve"> </w:t>
      </w:r>
      <w:r>
        <w:t xml:space="preserve">United States Los Angeles, California</w:t>
      </w:r>
    </w:p>
    <w:p>
      <w:pPr>
        <w:pStyle w:val="BodyText"/>
      </w:pPr>
      <w:r>
        <w:rPr>
          <w:bCs/>
          <w:b/>
        </w:rPr>
        <w:t xml:space="preserve">Lead Role:</w:t>
      </w:r>
      <w:r>
        <w:t xml:space="preserve"> </w:t>
      </w:r>
      <w:r>
        <w:t xml:space="preserve">Environmental Engineer</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document outlines the standardized Experiment Protocol for the assessment of ambient air quality within the metropolitan area of United States Los Angeles. As an Environmental Engineer, the primary objective is to quantify the concentration of fine particulate matter (PM2.5) and nitrogen dioxide (NO2) in specific high-traffic corridors and residential zones.</w:t>
      </w:r>
    </w:p>
    <w:p>
      <w:pPr>
        <w:pStyle w:val="BodyText"/>
      </w:pPr>
      <w:r>
        <w:t xml:space="preserve">Los Angeles is historically recognized for its complex atmospheric conditions, influenced by topography, traffic density, and industrial activity. This experiment aims to validate the efficacy of low-cost sensor networks against federal reference methods (FRM) to support local regulatory compliance with the South Coast Air Quality Management District (SCAQMD) standards.</w:t>
      </w:r>
    </w:p>
    <w:bookmarkEnd w:id="21"/>
    <w:bookmarkStart w:id="22" w:name="scope-and-regulatory-context"/>
    <w:p>
      <w:pPr>
        <w:pStyle w:val="Heading2"/>
      </w:pPr>
      <w:r>
        <w:t xml:space="preserve">2. Scope and Regulatory Context</w:t>
      </w:r>
    </w:p>
    <w:p>
      <w:pPr>
        <w:pStyle w:val="FirstParagraph"/>
      </w:pPr>
      <w:r>
        <w:t xml:space="preserve">The scope of this experiment is limited to the Los Angeles Basin, specifically focusing on the intersection of the I-405 and I-10 freeways. The Environmental Engineer must ensure that all procedures align with the Clean Air Act and guidelines set forth by the United States Environmental Protection Agency (EPA).</w:t>
      </w:r>
    </w:p>
    <w:p>
      <w:pPr>
        <w:pStyle w:val="BodyText"/>
      </w:pPr>
      <w:r>
        <w:t xml:space="preserve">The data collected will be used to:</w:t>
      </w:r>
    </w:p>
    <w:p>
      <w:pPr>
        <w:numPr>
          <w:ilvl w:val="0"/>
          <w:numId w:val="1001"/>
        </w:numPr>
        <w:pStyle w:val="Compact"/>
      </w:pPr>
      <w:r>
        <w:t xml:space="preserve">Identify micro-climates with elevated pollutant levels.</w:t>
      </w:r>
    </w:p>
    <w:p>
      <w:pPr>
        <w:numPr>
          <w:ilvl w:val="0"/>
          <w:numId w:val="1001"/>
        </w:numPr>
        <w:pStyle w:val="Compact"/>
      </w:pPr>
      <w:r>
        <w:t xml:space="preserve">Assess the correlation between traffic volume and NO2 spikes.</w:t>
      </w:r>
    </w:p>
    <w:p>
      <w:pPr>
        <w:numPr>
          <w:ilvl w:val="0"/>
          <w:numId w:val="1001"/>
        </w:numPr>
        <w:pStyle w:val="Compact"/>
      </w:pPr>
      <w:r>
        <w:t xml:space="preserve">Provide empirical data for urban planning and public health advisories.</w:t>
      </w:r>
    </w:p>
    <w:bookmarkEnd w:id="22"/>
    <w:bookmarkStart w:id="23" w:name="materials-and-equipment"/>
    <w:p>
      <w:pPr>
        <w:pStyle w:val="Heading2"/>
      </w:pPr>
      <w:r>
        <w:t xml:space="preserve">3. Materials and Equipment</w:t>
      </w:r>
    </w:p>
    <w:p>
      <w:pPr>
        <w:pStyle w:val="FirstParagraph"/>
      </w:pPr>
      <w:r>
        <w:t xml:space="preserve">The Environmental Engineer is responsible for the calibration and maintenance of the following equipment prior to deployment in United States Los Angeles: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PM2.5 Optical Sensor</w:t>
            </w:r>
          </w:p>
        </w:tc>
        <w:tc>
          <w:tcPr/>
          <w:p>
            <w:pPr>
              <w:pStyle w:val="Compact"/>
              <w:jc w:val="left"/>
            </w:pPr>
            <w:r>
              <w:t xml:space="preserve">Laser scattering principle, calibrated to EPA FRM</w:t>
            </w:r>
          </w:p>
        </w:tc>
        <w:tc>
          <w:tcPr/>
          <w:p>
            <w:pPr>
              <w:pStyle w:val="Compact"/>
              <w:jc w:val="left"/>
            </w:pPr>
            <w:r>
              <w:t xml:space="preserve">5 Units</w:t>
            </w:r>
          </w:p>
        </w:tc>
      </w:tr>
      <w:tr>
        <w:tc>
          <w:tcPr/>
          <w:p>
            <w:pPr>
              <w:pStyle w:val="Compact"/>
              <w:jc w:val="left"/>
            </w:pPr>
            <w:r>
              <w:t xml:space="preserve">NO2 Electrochemical Sensor</w:t>
            </w:r>
          </w:p>
        </w:tc>
        <w:tc>
          <w:tcPr/>
          <w:p>
            <w:pPr>
              <w:pStyle w:val="Compact"/>
              <w:jc w:val="left"/>
            </w:pPr>
            <w:r>
              <w:t xml:space="preserve">High sensitivity, temperature compensated</w:t>
            </w:r>
          </w:p>
        </w:tc>
        <w:tc>
          <w:tcPr/>
          <w:p>
            <w:pPr>
              <w:pStyle w:val="Compact"/>
              <w:jc w:val="left"/>
            </w:pPr>
            <w:r>
              <w:t xml:space="preserve">5 Units</w:t>
            </w:r>
          </w:p>
        </w:tc>
      </w:tr>
      <w:tr>
        <w:tc>
          <w:tcPr/>
          <w:p>
            <w:pPr>
              <w:pStyle w:val="Compact"/>
              <w:jc w:val="left"/>
            </w:pPr>
            <w:r>
              <w:t xml:space="preserve">Data Logger</w:t>
            </w:r>
          </w:p>
        </w:tc>
        <w:tc>
          <w:tcPr/>
          <w:p>
            <w:pPr>
              <w:pStyle w:val="Compact"/>
              <w:jc w:val="left"/>
            </w:pPr>
            <w:r>
              <w:t xml:space="preserve">GPS-enabled, 1-minute interval recording</w:t>
            </w:r>
          </w:p>
        </w:tc>
        <w:tc>
          <w:tcPr/>
          <w:p>
            <w:pPr>
              <w:pStyle w:val="Compact"/>
              <w:jc w:val="left"/>
            </w:pPr>
            <w:r>
              <w:t xml:space="preserve">5 Units</w:t>
            </w:r>
          </w:p>
        </w:tc>
      </w:tr>
      <w:tr>
        <w:tc>
          <w:tcPr/>
          <w:p>
            <w:pPr>
              <w:pStyle w:val="Compact"/>
              <w:jc w:val="left"/>
            </w:pPr>
            <w:r>
              <w:t xml:space="preserve">Reference Station</w:t>
            </w:r>
          </w:p>
        </w:tc>
        <w:tc>
          <w:tcPr/>
          <w:p>
            <w:pPr>
              <w:pStyle w:val="Compact"/>
              <w:jc w:val="left"/>
            </w:pPr>
            <w:r>
              <w:t xml:space="preserve">Fixed EPA-compliant monitor</w:t>
            </w:r>
          </w:p>
        </w:tc>
        <w:tc>
          <w:tcPr/>
          <w:p>
            <w:pPr>
              <w:pStyle w:val="Compact"/>
              <w:jc w:val="left"/>
            </w:pPr>
            <w:r>
              <w:t xml:space="preserve">1 Unit</w:t>
            </w:r>
          </w:p>
        </w:tc>
      </w:tr>
      <w:tr>
        <w:tc>
          <w:tcPr/>
          <w:p>
            <w:pPr>
              <w:pStyle w:val="Compact"/>
              <w:jc w:val="left"/>
            </w:pPr>
            <w:r>
              <w:t xml:space="preserve">Personal Protective Equipment (PPE)</w:t>
            </w:r>
          </w:p>
        </w:tc>
        <w:tc>
          <w:tcPr/>
          <w:p>
            <w:pPr>
              <w:pStyle w:val="Compact"/>
              <w:jc w:val="left"/>
            </w:pPr>
            <w:r>
              <w:t xml:space="preserve">N95 Respirators, Safety Vests, Gloves</w:t>
            </w:r>
          </w:p>
        </w:tc>
        <w:tc>
          <w:tcPr/>
          <w:p>
            <w:pPr>
              <w:pStyle w:val="Compact"/>
              <w:jc w:val="left"/>
            </w:pPr>
            <w:r>
              <w:t xml:space="preserve">As needed</w:t>
            </w:r>
          </w:p>
        </w:tc>
      </w:tr>
    </w:tbl>
    <w:bookmarkEnd w:id="23"/>
    <w:bookmarkStart w:id="28"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The Environmental Engineer must select five distinct monitoring sites within United States Los Angeles. Criteria for selection include:</w:t>
      </w:r>
    </w:p>
    <w:p>
      <w:pPr>
        <w:numPr>
          <w:ilvl w:val="0"/>
          <w:numId w:val="1002"/>
        </w:numPr>
        <w:pStyle w:val="Compact"/>
      </w:pPr>
      <w:r>
        <w:rPr>
          <w:bCs/>
          <w:b/>
        </w:rPr>
        <w:t xml:space="preserve">Site A:</w:t>
      </w:r>
      <w:r>
        <w:t xml:space="preserve"> </w:t>
      </w:r>
      <w:r>
        <w:t xml:space="preserve">Directly adjacent to a major freeway (e.g., I-405).</w:t>
      </w:r>
    </w:p>
    <w:p>
      <w:pPr>
        <w:numPr>
          <w:ilvl w:val="0"/>
          <w:numId w:val="1002"/>
        </w:numPr>
        <w:pStyle w:val="Compact"/>
      </w:pPr>
      <w:r>
        <w:rPr>
          <w:bCs/>
          <w:b/>
        </w:rPr>
        <w:t xml:space="preserve">Site B:</w:t>
      </w:r>
      <w:r>
        <w:t xml:space="preserve"> </w:t>
      </w:r>
      <w:r>
        <w:t xml:space="preserve">Residential area within 500 meters of the freeway.</w:t>
      </w:r>
    </w:p>
    <w:p>
      <w:pPr>
        <w:numPr>
          <w:ilvl w:val="0"/>
          <w:numId w:val="1002"/>
        </w:numPr>
        <w:pStyle w:val="Compact"/>
      </w:pPr>
      <w:r>
        <w:rPr>
          <w:bCs/>
          <w:b/>
        </w:rPr>
        <w:t xml:space="preserve">Site C:</w:t>
      </w:r>
      <w:r>
        <w:t xml:space="preserve"> </w:t>
      </w:r>
      <w:r>
        <w:t xml:space="preserve">Commercial district with high vehicular idling.</w:t>
      </w:r>
    </w:p>
    <w:p>
      <w:pPr>
        <w:numPr>
          <w:ilvl w:val="0"/>
          <w:numId w:val="1002"/>
        </w:numPr>
        <w:pStyle w:val="Compact"/>
      </w:pPr>
      <w:r>
        <w:rPr>
          <w:bCs/>
          <w:b/>
        </w:rPr>
        <w:t xml:space="preserve">Site D:</w:t>
      </w:r>
      <w:r>
        <w:t xml:space="preserve"> </w:t>
      </w:r>
      <w:r>
        <w:t xml:space="preserve">Park or green space (control site).</w:t>
      </w:r>
    </w:p>
    <w:p>
      <w:pPr>
        <w:numPr>
          <w:ilvl w:val="0"/>
          <w:numId w:val="1002"/>
        </w:numPr>
        <w:pStyle w:val="Compact"/>
      </w:pPr>
      <w:r>
        <w:rPr>
          <w:bCs/>
          <w:b/>
        </w:rPr>
        <w:t xml:space="preserve">Site E:</w:t>
      </w:r>
      <w:r>
        <w:t xml:space="preserve"> </w:t>
      </w:r>
      <w:r>
        <w:t xml:space="preserve">Industrial zone.</w:t>
      </w:r>
    </w:p>
    <w:p>
      <w:pPr>
        <w:pStyle w:val="FirstParagraph"/>
      </w:pPr>
      <w:r>
        <w:t xml:space="preserve">All sites must be approved by local authorities to ensure legal compliance with property laws in California.</w:t>
      </w:r>
    </w:p>
    <w:bookmarkEnd w:id="24"/>
    <w:bookmarkStart w:id="25" w:name="calibration-procedure"/>
    <w:p>
      <w:pPr>
        <w:pStyle w:val="Heading3"/>
      </w:pPr>
      <w:r>
        <w:t xml:space="preserve">4.2 Calibration Procedure</w:t>
      </w:r>
    </w:p>
    <w:p>
      <w:pPr>
        <w:pStyle w:val="FirstParagraph"/>
      </w:pPr>
      <w:r>
        <w:t xml:space="preserve">Prior to deployment, all sensors must undergo a rigorous calibration process. The Environmental Engineer will perform a zero-span calibration using certified gas standards. This step is critical to ensure data integrity, as Los Angeles' high humidity and temperature fluctuations can affect sensor drift.</w:t>
      </w:r>
    </w:p>
    <w:bookmarkEnd w:id="25"/>
    <w:bookmarkStart w:id="26" w:name="deployment"/>
    <w:p>
      <w:pPr>
        <w:pStyle w:val="Heading3"/>
      </w:pPr>
      <w:r>
        <w:t xml:space="preserve">4.3 Deployment</w:t>
      </w:r>
    </w:p>
    <w:p>
      <w:pPr>
        <w:pStyle w:val="FirstParagraph"/>
      </w:pPr>
      <w:r>
        <w:t xml:space="preserve">Sensors will be mounted at a height of 2 to 4 meters above ground level to simulate human breathing zone exposure. The deployment period will last for 14 consecutive days. Data will be transmitted wirelessly to a central server for real-time monitoring.</w:t>
      </w:r>
    </w:p>
    <w:bookmarkEnd w:id="26"/>
    <w:bookmarkStart w:id="27" w:name="data-collection"/>
    <w:p>
      <w:pPr>
        <w:pStyle w:val="Heading3"/>
      </w:pPr>
      <w:r>
        <w:t xml:space="preserve">4.4 Data Collection</w:t>
      </w:r>
    </w:p>
    <w:p>
      <w:pPr>
        <w:pStyle w:val="FirstParagraph"/>
      </w:pPr>
      <w:r>
        <w:t xml:space="preserve">The Environmental Engineer must ensure continuous data logging. Any gaps in data exceeding 10 minutes must be documented and investigated. Meteorological data (temperature, humidity, wind speed) will be collected simultaneously to allow for multivariate analysis.</w:t>
      </w:r>
    </w:p>
    <w:bookmarkEnd w:id="27"/>
    <w:bookmarkEnd w:id="28"/>
    <w:bookmarkStart w:id="29" w:name="safety-and-risk-management"/>
    <w:p>
      <w:pPr>
        <w:pStyle w:val="Heading2"/>
      </w:pPr>
      <w:r>
        <w:t xml:space="preserve">5. Safety and Risk Management</w:t>
      </w:r>
    </w:p>
    <w:p>
      <w:pPr>
        <w:pStyle w:val="FirstParagraph"/>
      </w:pPr>
      <w:r>
        <w:t xml:space="preserve">Working in United States Los Angeles presents specific risks, including traffic hazards and extreme heat. The Environmental Engineer must adhere to the following safety protocols:</w:t>
      </w:r>
    </w:p>
    <w:p>
      <w:pPr>
        <w:numPr>
          <w:ilvl w:val="0"/>
          <w:numId w:val="1003"/>
        </w:numPr>
        <w:pStyle w:val="Compact"/>
      </w:pPr>
      <w:r>
        <w:t xml:space="preserve">Traffic Safety:</w:t>
      </w:r>
      <w:r>
        <w:t xml:space="preserve"> </w:t>
      </w:r>
      <w:r>
        <w:t xml:space="preserve">All field personnel must wear high-visibility vests when working near freeways. Barricades must be used if work encroaches on active lanes.</w:t>
      </w:r>
    </w:p>
    <w:p>
      <w:pPr>
        <w:numPr>
          <w:ilvl w:val="0"/>
          <w:numId w:val="1003"/>
        </w:numPr>
        <w:pStyle w:val="Compact"/>
      </w:pPr>
      <w:r>
        <w:t xml:space="preserve">Heat Stress:</w:t>
      </w:r>
      <w:r>
        <w:t xml:space="preserve"> </w:t>
      </w:r>
      <w:r>
        <w:t xml:space="preserve">Hydration breaks are mandatory. Work during peak heat hours (12:00 PM - 3:00 PM) should be minimized.</w:t>
      </w:r>
    </w:p>
    <w:p>
      <w:pPr>
        <w:numPr>
          <w:ilvl w:val="0"/>
          <w:numId w:val="1003"/>
        </w:numPr>
        <w:pStyle w:val="Compact"/>
      </w:pPr>
      <w:r>
        <w:t xml:space="preserve">Chemical Safety:</w:t>
      </w:r>
      <w:r>
        <w:t xml:space="preserve"> </w:t>
      </w:r>
      <w:r>
        <w:t xml:space="preserve">Proper handling of calibration gases is required. Safety Data Sheets (SDS) must be accessible on-site.</w:t>
      </w:r>
    </w:p>
    <w:bookmarkEnd w:id="29"/>
    <w:bookmarkStart w:id="30" w:name="data-analysis-and-reporting"/>
    <w:p>
      <w:pPr>
        <w:pStyle w:val="Heading2"/>
      </w:pPr>
      <w:r>
        <w:t xml:space="preserve">6. Data Analysis and Reporting</w:t>
      </w:r>
    </w:p>
    <w:p>
      <w:pPr>
        <w:pStyle w:val="FirstParagraph"/>
      </w:pPr>
      <w:r>
        <w:t xml:space="preserve">Upon completion of the 14-day monitoring period, the Environmental Engineer will analyze the data using statistical software. Key performance indicators include:</w:t>
      </w:r>
    </w:p>
    <w:p>
      <w:pPr>
        <w:numPr>
          <w:ilvl w:val="0"/>
          <w:numId w:val="1004"/>
        </w:numPr>
        <w:pStyle w:val="Compact"/>
      </w:pPr>
      <w:r>
        <w:t xml:space="preserve">24-hour average PM2.5 concentrations.</w:t>
      </w:r>
    </w:p>
    <w:p>
      <w:pPr>
        <w:numPr>
          <w:ilvl w:val="0"/>
          <w:numId w:val="1004"/>
        </w:numPr>
        <w:pStyle w:val="Compact"/>
      </w:pPr>
      <w:r>
        <w:t xml:space="preserve">Hourly NO2 peaks correlated with rush hour traffic.</w:t>
      </w:r>
    </w:p>
    <w:p>
      <w:pPr>
        <w:numPr>
          <w:ilvl w:val="0"/>
          <w:numId w:val="1004"/>
        </w:numPr>
        <w:pStyle w:val="Compact"/>
      </w:pPr>
      <w:r>
        <w:t xml:space="preserve">Comparison of sensor data against the EPA National Ambient Air Quality Standards (NAAQS).</w:t>
      </w:r>
    </w:p>
    <w:p>
      <w:pPr>
        <w:pStyle w:val="FirstParagraph"/>
      </w:pPr>
      <w:r>
        <w:t xml:space="preserve">A comprehensive report will be generated, detailing findings, limitations, and recommendations for mitigation strategies. This report will be submitted to the relevant stakeholders in United States Los Angeles, including city planners and public health officials.</w:t>
      </w:r>
    </w:p>
    <w:bookmarkEnd w:id="30"/>
    <w:bookmarkStart w:id="31" w:name="conclusion"/>
    <w:p>
      <w:pPr>
        <w:pStyle w:val="Heading2"/>
      </w:pPr>
      <w:r>
        <w:t xml:space="preserve">7. Conclusion</w:t>
      </w:r>
    </w:p>
    <w:p>
      <w:pPr>
        <w:pStyle w:val="FirstParagraph"/>
      </w:pPr>
      <w:r>
        <w:t xml:space="preserve">This Experiment Protocol provides a robust framework for assessing air quality in one of the most challenging urban environments in the United States. By adhering to these guidelines, the Environmental Engineer ensures that the data collected is accurate, reliable, and actionable, ultimately contributing to the improvement of environmental health in Los Angeles.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Air Quality Assessment</dc:title>
  <dc:creator/>
  <dc:language>en</dc:language>
  <cp:keywords/>
  <dcterms:created xsi:type="dcterms:W3CDTF">2026-10-10T01:06:38Z</dcterms:created>
  <dcterms:modified xsi:type="dcterms:W3CDTF">2026-10-10T01:06:38Z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