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Stormwater</w:t>
      </w:r>
      <w:r>
        <w:t xml:space="preserve"> </w:t>
      </w:r>
      <w:r>
        <w:t xml:space="preserve">Quality</w:t>
      </w:r>
      <w:r>
        <w:t xml:space="preserve"> </w:t>
      </w:r>
      <w:r>
        <w:t xml:space="preserve">Assessment</w:t>
      </w:r>
      <w:r>
        <w:t xml:space="preserve"> </w:t>
      </w:r>
      <w:r>
        <w:t xml:space="preserve">in</w:t>
      </w:r>
      <w:r>
        <w:t xml:space="preserve"> </w:t>
      </w:r>
      <w:r>
        <w:t xml:space="preserve">Miami</w:t>
      </w:r>
    </w:p>
    <w:bookmarkStart w:id="20" w:name="Xfabfb30d5d4bd615d1079e7806ceef1c0bf5a60"/>
    <w:p>
      <w:pPr>
        <w:pStyle w:val="Heading1"/>
      </w:pPr>
      <w:r>
        <w:t xml:space="preserve">Experiment Protocol: Urban Stormwater Quality Assessment</w:t>
      </w:r>
    </w:p>
    <w:p>
      <w:pPr>
        <w:pStyle w:val="FirstParagraph"/>
      </w:pPr>
      <w:r>
        <w:rPr>
          <w:bCs/>
          <w:b/>
        </w:rPr>
        <w:t xml:space="preserve">Location:</w:t>
      </w:r>
      <w:r>
        <w:t xml:space="preserve"> </w:t>
      </w:r>
      <w:r>
        <w:t xml:space="preserve">Miami-Dade County, United States Miami</w:t>
      </w:r>
    </w:p>
    <w:p>
      <w:pPr>
        <w:pStyle w:val="BodyText"/>
      </w:pPr>
      <w:r>
        <w:rPr>
          <w:bCs/>
          <w:b/>
        </w:rPr>
        <w:t xml:space="preserve">Lead Role:</w:t>
      </w:r>
      <w:r>
        <w:t xml:space="preserve"> </w:t>
      </w:r>
      <w:r>
        <w:t xml:space="preserve">Environmental Engineer</w:t>
      </w:r>
    </w:p>
    <w:p>
      <w:pPr>
        <w:pStyle w:val="BodyText"/>
      </w:pPr>
      <w:r>
        <w:rPr>
          <w:bCs/>
          <w:b/>
        </w:rPr>
        <w:t xml:space="preserve">Protocol ID:</w:t>
      </w:r>
      <w:r>
        <w:t xml:space="preserve"> </w:t>
      </w:r>
      <w:r>
        <w:t xml:space="preserve">MIA-ENV-2023-004</w:t>
      </w:r>
    </w:p>
    <w:p>
      <w:pPr>
        <w:pStyle w:val="BodyText"/>
      </w:pPr>
      <w:r>
        <w:rPr>
          <w:bCs/>
          <w:b/>
        </w:rPr>
        <w:t xml:space="preserve">Date:</w:t>
      </w:r>
      <w:r>
        <w:t xml:space="preserve"> </w:t>
      </w:r>
      <w:r>
        <w:t xml:space="preserve">October 24, 2023</w:t>
      </w:r>
    </w:p>
    <w:bookmarkEnd w:id="20"/>
    <w:bookmarkStart w:id="21" w:name="objective-and-scope"/>
    <w:p>
      <w:pPr>
        <w:pStyle w:val="Heading2"/>
      </w:pPr>
      <w:r>
        <w:t xml:space="preserve">1. Objective and Scope</w:t>
      </w:r>
    </w:p>
    <w:p>
      <w:pPr>
        <w:pStyle w:val="FirstParagraph"/>
      </w:pPr>
      <w:r>
        <w:t xml:space="preserve">This experiment protocol outlines the procedures for assessing the quality of urban stormwater runoff in the coastal regions of</w:t>
      </w:r>
      <w:r>
        <w:t xml:space="preserve"> </w:t>
      </w:r>
      <w:r>
        <w:rPr>
          <w:bCs/>
          <w:b/>
        </w:rPr>
        <w:t xml:space="preserve">United States Miami</w:t>
      </w:r>
      <w:r>
        <w:t xml:space="preserve">. The primary objective is to quantify the concentration of total suspended solids (TSS), heavy metals (specifically lead and copper), and nutrient loads (nitrogen and phosphorus) in stormwater discharging into local waterways. This data is critical for the</w:t>
      </w:r>
      <w:r>
        <w:t xml:space="preserve"> </w:t>
      </w:r>
      <w:r>
        <w:rPr>
          <w:bCs/>
          <w:b/>
        </w:rPr>
        <w:t xml:space="preserve">Environmental Engineer</w:t>
      </w:r>
      <w:r>
        <w:t xml:space="preserve"> </w:t>
      </w:r>
      <w:r>
        <w:t xml:space="preserve">to evaluate the efficacy of current Best Management Practices (BMPs) and to ensure compliance with the Clean Water Act and local Miami-Dade County regulations.</w:t>
      </w:r>
    </w:p>
    <w:p>
      <w:pPr>
        <w:pStyle w:val="BodyText"/>
      </w:pPr>
      <w:r>
        <w:t xml:space="preserve">The scope of this study includes the collection of water samples from three designated stormwater outfalls in the Brickell and Coconut Grove districts during a simulated rainfall event or a natural precipitation event exceeding 0.5 inches.</w:t>
      </w:r>
    </w:p>
    <w:bookmarkEnd w:id="21"/>
    <w:bookmarkStart w:id="22" w:name="safety-and-regulatory-compliance"/>
    <w:p>
      <w:pPr>
        <w:pStyle w:val="Heading2"/>
      </w:pPr>
      <w:r>
        <w:t xml:space="preserve">2. Safety and Regulatory Compliance</w:t>
      </w:r>
    </w:p>
    <w:p>
      <w:pPr>
        <w:pStyle w:val="FirstParagraph"/>
      </w:pPr>
      <w:r>
        <w:t xml:space="preserve">Given the location in</w:t>
      </w:r>
      <w:r>
        <w:t xml:space="preserve"> </w:t>
      </w:r>
      <w:r>
        <w:rPr>
          <w:bCs/>
          <w:b/>
        </w:rPr>
        <w:t xml:space="preserve">United States Miami</w:t>
      </w:r>
      <w:r>
        <w:t xml:space="preserve">, specific environmental and safety considerations must be addressed. The</w:t>
      </w:r>
      <w:r>
        <w:t xml:space="preserve"> </w:t>
      </w:r>
      <w:r>
        <w:rPr>
          <w:bCs/>
          <w:b/>
        </w:rPr>
        <w:t xml:space="preserve">Environmental Engineer</w:t>
      </w:r>
      <w:r>
        <w:t xml:space="preserve"> </w:t>
      </w:r>
      <w:r>
        <w:t xml:space="preserve">must ensure that all personnel adhere to the following safety standards:</w:t>
      </w:r>
    </w:p>
    <w:p>
      <w:pPr>
        <w:numPr>
          <w:ilvl w:val="0"/>
          <w:numId w:val="1001"/>
        </w:numPr>
        <w:pStyle w:val="Compact"/>
      </w:pPr>
      <w:r>
        <w:rPr>
          <w:bCs/>
          <w:b/>
        </w:rPr>
        <w:t xml:space="preserve">Personal Protective Equipment (PPE):</w:t>
      </w:r>
      <w:r>
        <w:t xml:space="preserve"> </w:t>
      </w:r>
      <w:r>
        <w:t xml:space="preserve">All field staff must wear high-visibility vests, waterproof boots, nitrile gloves, and safety goggles. Due to the potential for flash flooding in Miami's low-lying areas, life vests are mandatory when working near open water channels.</w:t>
      </w:r>
    </w:p>
    <w:p>
      <w:pPr>
        <w:numPr>
          <w:ilvl w:val="0"/>
          <w:numId w:val="1001"/>
        </w:numPr>
        <w:pStyle w:val="Compact"/>
      </w:pPr>
      <w:r>
        <w:rPr>
          <w:bCs/>
          <w:b/>
        </w:rPr>
        <w:t xml:space="preserve">Biological Hazards:</w:t>
      </w:r>
      <w:r>
        <w:t xml:space="preserve"> </w:t>
      </w:r>
      <w:r>
        <w:t xml:space="preserve">Stormwater in urban Miami may contain pathogens. Strict hygiene protocols must be followed. No eating or drinking is permitted in the sampling zone.</w:t>
      </w:r>
    </w:p>
    <w:p>
      <w:pPr>
        <w:numPr>
          <w:ilvl w:val="0"/>
          <w:numId w:val="1001"/>
        </w:numPr>
        <w:pStyle w:val="Compact"/>
      </w:pPr>
      <w:r>
        <w:rPr>
          <w:bCs/>
          <w:b/>
        </w:rPr>
        <w:t xml:space="preserve">Regulatory Permits:</w:t>
      </w:r>
      <w:r>
        <w:t xml:space="preserve"> </w:t>
      </w:r>
      <w:r>
        <w:t xml:space="preserve">Ensure that all necessary permits from the South Florida Water Management District (SFWMD) and the City of Miami Beach Department of Environmental Resources Management are secured prior to deployment.</w:t>
      </w:r>
    </w:p>
    <w:p>
      <w:pPr>
        <w:numPr>
          <w:ilvl w:val="0"/>
          <w:numId w:val="1001"/>
        </w:numPr>
        <w:pStyle w:val="Compact"/>
      </w:pPr>
      <w:r>
        <w:rPr>
          <w:bCs/>
          <w:b/>
        </w:rPr>
        <w:t xml:space="preserve">Weather Monitoring:</w:t>
      </w:r>
      <w:r>
        <w:t xml:space="preserve"> </w:t>
      </w:r>
      <w:r>
        <w:t xml:space="preserve">Continuous monitoring of the National Weather Service alerts is required. Sampling must cease immediately if lightning is detected within 10 miles or if wind speeds exceed 40 mph.</w:t>
      </w:r>
    </w:p>
    <w:bookmarkEnd w:id="22"/>
    <w:bookmarkStart w:id="23" w:name="materials-and-equipment"/>
    <w:p>
      <w:pPr>
        <w:pStyle w:val="Heading2"/>
      </w:pPr>
      <w:r>
        <w:t xml:space="preserve">3. Materials and Equipment</w:t>
      </w:r>
    </w:p>
    <w:p>
      <w:pPr>
        <w:pStyle w:val="FirstParagraph"/>
      </w:pPr>
      <w:r>
        <w:t xml:space="preserve">The following equipment is required for the</w:t>
      </w:r>
      <w:r>
        <w:t xml:space="preserve"> </w:t>
      </w:r>
      <w:r>
        <w:rPr>
          <w:bCs/>
          <w:b/>
        </w:rPr>
        <w:t xml:space="preserve">Environmental Engineer</w:t>
      </w:r>
      <w:r>
        <w:t xml:space="preserve"> </w:t>
      </w:r>
      <w:r>
        <w:t xml:space="preserve">and the field team:</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Autosampler</w:t>
            </w:r>
          </w:p>
        </w:tc>
        <w:tc>
          <w:tcPr/>
          <w:p>
            <w:pPr>
              <w:pStyle w:val="Compact"/>
              <w:jc w:val="left"/>
            </w:pPr>
            <w:r>
              <w:t xml:space="preserve">3</w:t>
            </w:r>
          </w:p>
        </w:tc>
        <w:tc>
          <w:tcPr/>
          <w:p>
            <w:pPr>
              <w:pStyle w:val="Compact"/>
              <w:jc w:val="left"/>
            </w:pPr>
            <w:r>
              <w:t xml:space="preserve">Programmed for flow-proportional sampling</w:t>
            </w:r>
          </w:p>
        </w:tc>
      </w:tr>
      <w:tr>
        <w:tc>
          <w:tcPr/>
          <w:p>
            <w:pPr>
              <w:pStyle w:val="Compact"/>
              <w:jc w:val="left"/>
            </w:pPr>
            <w:r>
              <w:t xml:space="preserve">Sample Bottles (Glass)</w:t>
            </w:r>
          </w:p>
        </w:tc>
        <w:tc>
          <w:tcPr/>
          <w:p>
            <w:pPr>
              <w:pStyle w:val="Compact"/>
              <w:jc w:val="left"/>
            </w:pPr>
            <w:r>
              <w:t xml:space="preserve">30</w:t>
            </w:r>
          </w:p>
        </w:tc>
        <w:tc>
          <w:tcPr/>
          <w:p>
            <w:pPr>
              <w:pStyle w:val="Compact"/>
              <w:jc w:val="left"/>
            </w:pPr>
            <w:r>
              <w:t xml:space="preserve">Acid-washed, 1-liter capacity for metals</w:t>
            </w:r>
          </w:p>
        </w:tc>
      </w:tr>
      <w:tr>
        <w:tc>
          <w:tcPr/>
          <w:p>
            <w:pPr>
              <w:pStyle w:val="Compact"/>
              <w:jc w:val="left"/>
            </w:pPr>
            <w:r>
              <w:t xml:space="preserve">Sample Bottles (Plastic)</w:t>
            </w:r>
          </w:p>
        </w:tc>
        <w:tc>
          <w:tcPr/>
          <w:p>
            <w:pPr>
              <w:pStyle w:val="Compact"/>
              <w:jc w:val="left"/>
            </w:pPr>
            <w:r>
              <w:t xml:space="preserve">30</w:t>
            </w:r>
          </w:p>
        </w:tc>
        <w:tc>
          <w:tcPr/>
          <w:p>
            <w:pPr>
              <w:pStyle w:val="Compact"/>
              <w:jc w:val="left"/>
            </w:pPr>
            <w:r>
              <w:t xml:space="preserve">For nutrients and TSS analysis</w:t>
            </w:r>
          </w:p>
        </w:tc>
      </w:tr>
      <w:tr>
        <w:tc>
          <w:tcPr/>
          <w:p>
            <w:pPr>
              <w:pStyle w:val="Compact"/>
              <w:jc w:val="left"/>
            </w:pPr>
            <w:r>
              <w:t xml:space="preserve">Flow Meter</w:t>
            </w:r>
          </w:p>
        </w:tc>
        <w:tc>
          <w:tcPr/>
          <w:p>
            <w:pPr>
              <w:pStyle w:val="Compact"/>
              <w:jc w:val="left"/>
            </w:pPr>
            <w:r>
              <w:t xml:space="preserve">1</w:t>
            </w:r>
          </w:p>
        </w:tc>
        <w:tc>
          <w:tcPr/>
          <w:p>
            <w:pPr>
              <w:pStyle w:val="Compact"/>
              <w:jc w:val="left"/>
            </w:pPr>
            <w:r>
              <w:t xml:space="preserve">Acoustic Doppler Current Profiler (ADCP)</w:t>
            </w:r>
          </w:p>
        </w:tc>
      </w:tr>
      <w:tr>
        <w:tc>
          <w:tcPr/>
          <w:p>
            <w:pPr>
              <w:pStyle w:val="Compact"/>
              <w:jc w:val="left"/>
            </w:pPr>
            <w:r>
              <w:t xml:space="preserve">GPS Unit</w:t>
            </w:r>
          </w:p>
        </w:tc>
        <w:tc>
          <w:tcPr/>
          <w:p>
            <w:pPr>
              <w:pStyle w:val="Compact"/>
              <w:jc w:val="left"/>
            </w:pPr>
            <w:r>
              <w:t xml:space="preserve">1</w:t>
            </w:r>
          </w:p>
        </w:tc>
        <w:tc>
          <w:tcPr/>
          <w:p>
            <w:pPr>
              <w:pStyle w:val="Compact"/>
              <w:jc w:val="left"/>
            </w:pPr>
            <w:r>
              <w:t xml:space="preserve">High-precision for site verification</w:t>
            </w:r>
          </w:p>
        </w:tc>
      </w:tr>
      <w:tr>
        <w:tc>
          <w:tcPr/>
          <w:p>
            <w:pPr>
              <w:pStyle w:val="Compact"/>
              <w:jc w:val="left"/>
            </w:pPr>
            <w:r>
              <w:t xml:space="preserve">Coolers with Ice</w:t>
            </w:r>
          </w:p>
        </w:tc>
        <w:tc>
          <w:tcPr/>
          <w:p>
            <w:pPr>
              <w:pStyle w:val="Compact"/>
              <w:jc w:val="left"/>
            </w:pPr>
            <w:r>
              <w:t xml:space="preserve">3</w:t>
            </w:r>
          </w:p>
        </w:tc>
        <w:tc>
          <w:tcPr/>
          <w:p>
            <w:pPr>
              <w:pStyle w:val="Compact"/>
              <w:jc w:val="left"/>
            </w:pPr>
            <w:r>
              <w:t xml:space="preserve">For sample preservation at 4°C</w:t>
            </w:r>
          </w:p>
        </w:tc>
      </w:tr>
    </w:tbl>
    <w:bookmarkEnd w:id="23"/>
    <w:bookmarkStart w:id="27" w:name="methodology"/>
    <w:p>
      <w:pPr>
        <w:pStyle w:val="Heading2"/>
      </w:pPr>
      <w:r>
        <w:t xml:space="preserve">4. Methodology</w:t>
      </w:r>
    </w:p>
    <w:bookmarkStart w:id="24" w:name="site-selection-and-preparation"/>
    <w:p>
      <w:pPr>
        <w:pStyle w:val="Heading3"/>
      </w:pPr>
      <w:r>
        <w:t xml:space="preserve">4.1 Site Selection and Preparation</w:t>
      </w:r>
    </w:p>
    <w:p>
      <w:pPr>
        <w:pStyle w:val="FirstParagraph"/>
      </w:pPr>
      <w:r>
        <w:t xml:space="preserve">The</w:t>
      </w:r>
      <w:r>
        <w:t xml:space="preserve"> </w:t>
      </w:r>
      <w:r>
        <w:rPr>
          <w:bCs/>
          <w:b/>
        </w:rPr>
        <w:t xml:space="preserve">Environmental Engineer</w:t>
      </w:r>
      <w:r>
        <w:t xml:space="preserve"> </w:t>
      </w:r>
      <w:r>
        <w:t xml:space="preserve">will select three sampling sites in</w:t>
      </w:r>
      <w:r>
        <w:t xml:space="preserve"> </w:t>
      </w:r>
      <w:r>
        <w:rPr>
          <w:bCs/>
          <w:b/>
        </w:rPr>
        <w:t xml:space="preserve">United States Miami</w:t>
      </w:r>
      <w:r>
        <w:t xml:space="preserve"> </w:t>
      </w:r>
      <w:r>
        <w:t xml:space="preserve">that represent high-density urban runoff. These sites must be accessible and safe. Prior to the event, the autosamplers will be installed and calibrated. The GPS coordinates of each site will be recorded to ensure accurate mapping of data points.</w:t>
      </w:r>
    </w:p>
    <w:bookmarkEnd w:id="24"/>
    <w:bookmarkStart w:id="25" w:name="sampling-procedure"/>
    <w:p>
      <w:pPr>
        <w:pStyle w:val="Heading3"/>
      </w:pPr>
      <w:r>
        <w:t xml:space="preserve">4.2 Sampling Procedure</w:t>
      </w:r>
    </w:p>
    <w:p>
      <w:pPr>
        <w:pStyle w:val="FirstParagraph"/>
      </w:pPr>
      <w:r>
        <w:t xml:space="preserve">Sampling will be conducted using a flow-proportional method to capture the variability of pollutant loads during the storm event.</w:t>
      </w:r>
    </w:p>
    <w:p>
      <w:pPr>
        <w:numPr>
          <w:ilvl w:val="0"/>
          <w:numId w:val="1002"/>
        </w:numPr>
        <w:pStyle w:val="Compact"/>
      </w:pPr>
      <w:r>
        <w:rPr>
          <w:bCs/>
          <w:b/>
        </w:rPr>
        <w:t xml:space="preserve">Pre-Event Check:</w:t>
      </w:r>
      <w:r>
        <w:t xml:space="preserve"> </w:t>
      </w:r>
      <w:r>
        <w:t xml:space="preserve">Verify that autosamplers are charged and programmed to trigger when flow exceeds a predetermined threshold.</w:t>
      </w:r>
    </w:p>
    <w:p>
      <w:pPr>
        <w:numPr>
          <w:ilvl w:val="0"/>
          <w:numId w:val="1002"/>
        </w:numPr>
        <w:pStyle w:val="Compact"/>
      </w:pPr>
      <w:r>
        <w:rPr>
          <w:bCs/>
          <w:b/>
        </w:rPr>
        <w:t xml:space="preserve">Sample Collection:</w:t>
      </w:r>
      <w:r>
        <w:t xml:space="preserve"> </w:t>
      </w:r>
      <w:r>
        <w:t xml:space="preserve">During the rainfall event, the autosamplers will collect composite samples over a 4-hour period. This duration is chosen to capture the initial "first flush" phenomenon common in Miami's urban infrastructure.</w:t>
      </w:r>
    </w:p>
    <w:p>
      <w:pPr>
        <w:numPr>
          <w:ilvl w:val="0"/>
          <w:numId w:val="1002"/>
        </w:numPr>
        <w:pStyle w:val="Compact"/>
      </w:pPr>
      <w:r>
        <w:rPr>
          <w:bCs/>
          <w:b/>
        </w:rPr>
        <w:t xml:space="preserve">Manual Verification:</w:t>
      </w:r>
      <w:r>
        <w:t xml:space="preserve"> </w:t>
      </w:r>
      <w:r>
        <w:t xml:space="preserve">The</w:t>
      </w:r>
      <w:r>
        <w:t xml:space="preserve"> </w:t>
      </w:r>
      <w:r>
        <w:rPr>
          <w:bCs/>
          <w:b/>
        </w:rPr>
        <w:t xml:space="preserve">Environmental Engineer</w:t>
      </w:r>
      <w:r>
        <w:t xml:space="preserve"> </w:t>
      </w:r>
      <w:r>
        <w:t xml:space="preserve">or a designated technician will perform manual grab samples at the beginning and end of the event to verify autosampler functionality.</w:t>
      </w:r>
    </w:p>
    <w:p>
      <w:pPr>
        <w:numPr>
          <w:ilvl w:val="0"/>
          <w:numId w:val="1002"/>
        </w:numPr>
        <w:pStyle w:val="Compact"/>
      </w:pPr>
      <w:r>
        <w:rPr>
          <w:bCs/>
          <w:b/>
        </w:rPr>
        <w:t xml:space="preserve">Preservation:</w:t>
      </w:r>
      <w:r>
        <w:t xml:space="preserve"> </w:t>
      </w:r>
      <w:r>
        <w:t xml:space="preserve">Immediately after collection, samples for metals analysis will be acidified with nitric acid to a pH less than 2. All samples will be placed in coolers maintained at 4°C.</w:t>
      </w:r>
    </w:p>
    <w:bookmarkEnd w:id="25"/>
    <w:bookmarkStart w:id="26" w:name="laboratory-analysis"/>
    <w:p>
      <w:pPr>
        <w:pStyle w:val="Heading3"/>
      </w:pPr>
      <w:r>
        <w:t xml:space="preserve">4.3 Laboratory Analysis</w:t>
      </w:r>
    </w:p>
    <w:p>
      <w:pPr>
        <w:pStyle w:val="FirstParagraph"/>
      </w:pPr>
      <w:r>
        <w:t xml:space="preserve">Within 24 hours of collection, samples will be transported to an EPA-certified laboratory in South Florida. The following analyses will be performed:</w:t>
      </w:r>
    </w:p>
    <w:p>
      <w:pPr>
        <w:numPr>
          <w:ilvl w:val="0"/>
          <w:numId w:val="1003"/>
        </w:numPr>
        <w:pStyle w:val="Compact"/>
      </w:pPr>
      <w:r>
        <w:rPr>
          <w:bCs/>
          <w:b/>
        </w:rPr>
        <w:t xml:space="preserve">Total Suspended Solids (TSS):</w:t>
      </w:r>
      <w:r>
        <w:t xml:space="preserve"> </w:t>
      </w:r>
      <w:r>
        <w:t xml:space="preserve">Gravimetric method (EPA Method 160.2).</w:t>
      </w:r>
    </w:p>
    <w:p>
      <w:pPr>
        <w:numPr>
          <w:ilvl w:val="0"/>
          <w:numId w:val="1003"/>
        </w:numPr>
        <w:pStyle w:val="Compact"/>
      </w:pPr>
      <w:r>
        <w:rPr>
          <w:bCs/>
          <w:b/>
        </w:rPr>
        <w:t xml:space="preserve">Heavy Metals:</w:t>
      </w:r>
      <w:r>
        <w:t xml:space="preserve"> </w:t>
      </w:r>
      <w:r>
        <w:t xml:space="preserve">Inductively Coupled Plasma Mass Spectrometry (ICP-MS) for lead, copper, zinc, and cadmium.</w:t>
      </w:r>
    </w:p>
    <w:p>
      <w:pPr>
        <w:numPr>
          <w:ilvl w:val="0"/>
          <w:numId w:val="1003"/>
        </w:numPr>
        <w:pStyle w:val="Compact"/>
      </w:pPr>
      <w:r>
        <w:rPr>
          <w:bCs/>
          <w:b/>
        </w:rPr>
        <w:t xml:space="preserve">Nutrients:</w:t>
      </w:r>
      <w:r>
        <w:t xml:space="preserve"> </w:t>
      </w:r>
      <w:r>
        <w:t xml:space="preserve">Colorimetric methods for total nitrogen and total phosphorus.</w:t>
      </w:r>
    </w:p>
    <w:bookmarkEnd w:id="26"/>
    <w:bookmarkEnd w:id="27"/>
    <w:bookmarkStart w:id="28" w:name="data-analysis-and-reporting"/>
    <w:p>
      <w:pPr>
        <w:pStyle w:val="Heading2"/>
      </w:pPr>
      <w:r>
        <w:t xml:space="preserve">5. Data Analysis and Reporting</w:t>
      </w:r>
    </w:p>
    <w:p>
      <w:pPr>
        <w:pStyle w:val="FirstParagraph"/>
      </w:pPr>
      <w:r>
        <w:t xml:space="preserve">The</w:t>
      </w:r>
      <w:r>
        <w:t xml:space="preserve"> </w:t>
      </w:r>
      <w:r>
        <w:rPr>
          <w:bCs/>
          <w:b/>
        </w:rPr>
        <w:t xml:space="preserve">Environmental Engineer</w:t>
      </w:r>
      <w:r>
        <w:t xml:space="preserve"> </w:t>
      </w:r>
      <w:r>
        <w:t xml:space="preserve">will compile the laboratory results and correlate them with rainfall data obtained from the National Weather Service Miami station. Statistical analysis will be performed to determine the mean and standard deviation of pollutant concentrations. The results will be compared against the water quality criteria established by the Florida Department of Environmental Protection (FDEP).</w:t>
      </w:r>
    </w:p>
    <w:p>
      <w:pPr>
        <w:pStyle w:val="BodyText"/>
      </w:pPr>
      <w:r>
        <w:t xml:space="preserve">A comprehensive report will be generated, detailing the findings, potential sources of pollution, and recommendations for improving stormwater management in</w:t>
      </w:r>
      <w:r>
        <w:t xml:space="preserve"> </w:t>
      </w:r>
      <w:r>
        <w:rPr>
          <w:bCs/>
          <w:b/>
        </w:rPr>
        <w:t xml:space="preserve">United States Miami</w:t>
      </w:r>
      <w:r>
        <w:t xml:space="preserve">. This report will serve as a basis for future infrastructure upgrades and policy adjustments.</w:t>
      </w:r>
    </w:p>
    <w:bookmarkEnd w:id="28"/>
    <w:bookmarkStart w:id="29" w:name="X821d2f34bdaf57637cbbf49b6dc1cefe6766a7d"/>
    <w:p>
      <w:pPr>
        <w:pStyle w:val="Heading2"/>
      </w:pPr>
      <w:r>
        <w:t xml:space="preserve">6. Quality Assurance and Quality Control (QA/QC)</w:t>
      </w:r>
    </w:p>
    <w:p>
      <w:pPr>
        <w:pStyle w:val="FirstParagraph"/>
      </w:pPr>
      <w:r>
        <w:t xml:space="preserve">To ensure the integrity of the data, the following QA/QC measures will be implemented:</w:t>
      </w:r>
    </w:p>
    <w:p>
      <w:pPr>
        <w:numPr>
          <w:ilvl w:val="0"/>
          <w:numId w:val="1004"/>
        </w:numPr>
        <w:pStyle w:val="Compact"/>
      </w:pPr>
      <w:r>
        <w:rPr>
          <w:bCs/>
          <w:b/>
        </w:rPr>
        <w:t xml:space="preserve">Field Blanks:</w:t>
      </w:r>
      <w:r>
        <w:t xml:space="preserve"> </w:t>
      </w:r>
      <w:r>
        <w:t xml:space="preserve">One field blank will be collected per site to check for contamination during sampling.</w:t>
      </w:r>
    </w:p>
    <w:p>
      <w:pPr>
        <w:numPr>
          <w:ilvl w:val="0"/>
          <w:numId w:val="1004"/>
        </w:numPr>
        <w:pStyle w:val="Compact"/>
      </w:pPr>
      <w:r>
        <w:rPr>
          <w:bCs/>
          <w:b/>
        </w:rPr>
        <w:t xml:space="preserve">Duplicates:</w:t>
      </w:r>
      <w:r>
        <w:t xml:space="preserve"> </w:t>
      </w:r>
      <w:r>
        <w:t xml:space="preserve">10% of the samples will be collected as duplicates to assess precision.</w:t>
      </w:r>
    </w:p>
    <w:p>
      <w:pPr>
        <w:numPr>
          <w:ilvl w:val="0"/>
          <w:numId w:val="1004"/>
        </w:numPr>
        <w:pStyle w:val="Compact"/>
      </w:pPr>
      <w:r>
        <w:rPr>
          <w:bCs/>
          <w:b/>
        </w:rPr>
        <w:t xml:space="preserve">Chain of Custody:</w:t>
      </w:r>
      <w:r>
        <w:t xml:space="preserve"> </w:t>
      </w:r>
      <w:r>
        <w:t xml:space="preserve">A strict chain of custody form will be maintained for all samples from collection to laboratory analysis.</w:t>
      </w:r>
    </w:p>
    <w:bookmarkEnd w:id="29"/>
    <w:bookmarkStart w:id="30" w:name="conclusion"/>
    <w:p>
      <w:pPr>
        <w:pStyle w:val="Heading2"/>
      </w:pPr>
      <w:r>
        <w:t xml:space="preserve">7. Conclusion</w:t>
      </w:r>
    </w:p>
    <w:p>
      <w:pPr>
        <w:pStyle w:val="FirstParagraph"/>
      </w:pPr>
      <w:r>
        <w:t xml:space="preserve">This</w:t>
      </w:r>
      <w:r>
        <w:t xml:space="preserve"> </w:t>
      </w:r>
      <w:r>
        <w:rPr>
          <w:bCs/>
          <w:b/>
        </w:rPr>
        <w:t xml:space="preserve">Experiment Protocol</w:t>
      </w:r>
      <w:r>
        <w:t xml:space="preserve"> </w:t>
      </w:r>
      <w:r>
        <w:t xml:space="preserve">provides a structured approach for the</w:t>
      </w:r>
      <w:r>
        <w:t xml:space="preserve"> </w:t>
      </w:r>
      <w:r>
        <w:rPr>
          <w:bCs/>
          <w:b/>
        </w:rPr>
        <w:t xml:space="preserve">Environmental Engineer</w:t>
      </w:r>
      <w:r>
        <w:t xml:space="preserve"> </w:t>
      </w:r>
      <w:r>
        <w:t xml:space="preserve">to assess stormwater quality in</w:t>
      </w:r>
      <w:r>
        <w:t xml:space="preserve"> </w:t>
      </w:r>
      <w:r>
        <w:rPr>
          <w:bCs/>
          <w:b/>
        </w:rPr>
        <w:t xml:space="preserve">United States Miami</w:t>
      </w:r>
      <w:r>
        <w:t xml:space="preserve">. By adhering to these procedures, we ensure that the data collected is accurate, reliable, and useful for protecting the delicate coastal ecosystems of South Florida.</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Stormwater Quality Assessment in Miami</dc:title>
  <dc:creator/>
  <dc:language>en</dc:language>
  <cp:keywords/>
  <dcterms:created xsi:type="dcterms:W3CDTF">2026-10-10T03:34:58Z</dcterms:created>
  <dcterms:modified xsi:type="dcterms:W3CDTF">2026-10-10T03:34:58Z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