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Quality</w:t>
      </w:r>
      <w:r>
        <w:t xml:space="preserve"> </w:t>
      </w:r>
      <w:r>
        <w:t xml:space="preserve">Assessment</w:t>
      </w:r>
    </w:p>
    <w:bookmarkStart w:id="20" w:name="Xfabfb30d5d4bd615d1079e7806ceef1c0bf5a60"/>
    <w:p>
      <w:pPr>
        <w:pStyle w:val="Heading1"/>
      </w:pPr>
      <w:r>
        <w:t xml:space="preserve">Experiment Protocol: Urban Stormwater Quality Assessment</w:t>
      </w:r>
    </w:p>
    <w:p>
      <w:pPr>
        <w:pStyle w:val="FirstParagraph"/>
      </w:pPr>
      <w:r>
        <w:rPr>
          <w:bCs/>
          <w:b/>
        </w:rPr>
        <w:t xml:space="preserve">Project Title:</w:t>
      </w:r>
      <w:r>
        <w:t xml:space="preserve"> </w:t>
      </w:r>
      <w:r>
        <w:t xml:space="preserve">Evaluation of Microplastic and Heavy Metal Concentrations in San Francisco Bay Area Stormwater Runoff</w:t>
      </w:r>
    </w:p>
    <w:p>
      <w:pPr>
        <w:pStyle w:val="BodyText"/>
      </w:pPr>
      <w:r>
        <w:rPr>
          <w:bCs/>
          <w:b/>
        </w:rPr>
        <w:t xml:space="preserve">Location:</w:t>
      </w:r>
      <w:r>
        <w:t xml:space="preserve"> </w:t>
      </w:r>
      <w:r>
        <w:t xml:space="preserve">United States, San Francisco, CA (Specifically: Mission Creek and Yerba Buena Watersheds)</w:t>
      </w:r>
    </w:p>
    <w:p>
      <w:pPr>
        <w:pStyle w:val="BodyText"/>
      </w:pPr>
      <w:r>
        <w:rPr>
          <w:bCs/>
          <w:b/>
        </w:rPr>
        <w:t xml:space="preserve">Lead Role:</w:t>
      </w:r>
      <w:r>
        <w:t xml:space="preserve"> </w:t>
      </w:r>
      <w:r>
        <w:t xml:space="preserve">Environmental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bookmarkStart w:id="21" w:name="introduction-and-objective"/>
    <w:p>
      <w:pPr>
        <w:pStyle w:val="Heading2"/>
      </w:pPr>
      <w:r>
        <w:t xml:space="preserve">1.0 Introduction and Objective</w:t>
      </w:r>
    </w:p>
    <w:p>
      <w:pPr>
        <w:pStyle w:val="FirstParagraph"/>
      </w:pPr>
      <w:r>
        <w:t xml:space="preserve">This Experiment Protocol outlines the standardized procedures for the collection, analysis, and reporting of stormwater quality data within the urban environment of San Francisco. As an Environmental Engineer operating in this jurisdiction, the primary objective is to quantify the load of emerging contaminants—specifically microplastics and heavy metals (Lead, Copper, Zinc)—entering the San Francisco Bay via local storm drains.</w:t>
      </w:r>
    </w:p>
    <w:p>
      <w:pPr>
        <w:pStyle w:val="BodyText"/>
      </w:pPr>
      <w:r>
        <w:t xml:space="preserve">San Francisco presents a unique hydrological challenge due to its steep topography, dense urbanization, and combination of combined sewer overflows (CSOs) and separate stormwater systems. This protocol is designed to comply with regulations set forth by the California State Water Resources Control Board and the San Francisco Public Utilities Commission (SFPUC).</w:t>
      </w:r>
    </w:p>
    <w:bookmarkEnd w:id="21"/>
    <w:bookmarkStart w:id="22" w:name="scope-and-site-selection"/>
    <w:p>
      <w:pPr>
        <w:pStyle w:val="Heading2"/>
      </w:pPr>
      <w:r>
        <w:t xml:space="preserve">2.0 Scope and Site Selection</w:t>
      </w:r>
    </w:p>
    <w:p>
      <w:pPr>
        <w:pStyle w:val="FirstParagraph"/>
      </w:pPr>
      <w:r>
        <w:t xml:space="preserve">The scope of this experiment is limited to surface runoff events occurring during the initial wet season of the year. The Environmental Engineer must select sampling sites that represent typical urban impervious surfaces.</w:t>
      </w:r>
    </w:p>
    <w:p>
      <w:pPr>
        <w:numPr>
          <w:ilvl w:val="0"/>
          <w:numId w:val="1001"/>
        </w:numPr>
        <w:pStyle w:val="Compact"/>
      </w:pPr>
      <w:r>
        <w:rPr>
          <w:bCs/>
          <w:b/>
        </w:rPr>
        <w:t xml:space="preserve">Site A:</w:t>
      </w:r>
      <w:r>
        <w:t xml:space="preserve"> </w:t>
      </w:r>
      <w:r>
        <w:t xml:space="preserve">Commercial district outlet near Market Street (High traffic, high imperviousness).</w:t>
      </w:r>
    </w:p>
    <w:p>
      <w:pPr>
        <w:numPr>
          <w:ilvl w:val="0"/>
          <w:numId w:val="1001"/>
        </w:numPr>
        <w:pStyle w:val="Compact"/>
      </w:pPr>
      <w:r>
        <w:rPr>
          <w:bCs/>
          <w:b/>
        </w:rPr>
        <w:t xml:space="preserve">Site B:</w:t>
      </w:r>
      <w:r>
        <w:t xml:space="preserve"> </w:t>
      </w:r>
      <w:r>
        <w:t xml:space="preserve">Residential outlet in the Sunset District (Moderate traffic, older infrastructure).</w:t>
      </w:r>
    </w:p>
    <w:p>
      <w:pPr>
        <w:numPr>
          <w:ilvl w:val="0"/>
          <w:numId w:val="1001"/>
        </w:numPr>
        <w:pStyle w:val="Compact"/>
      </w:pPr>
      <w:r>
        <w:rPr>
          <w:bCs/>
          <w:b/>
        </w:rPr>
        <w:t xml:space="preserve">Site C:</w:t>
      </w:r>
      <w:r>
        <w:t xml:space="preserve"> </w:t>
      </w:r>
      <w:r>
        <w:t xml:space="preserve">Control site upstream of major urban development in Golden Gate Park.</w:t>
      </w:r>
    </w:p>
    <w:p>
      <w:pPr>
        <w:pStyle w:val="FirstParagraph"/>
      </w:pPr>
      <w:r>
        <w:t xml:space="preserve">All sites must be accessible safely and must have prior authorization from the City of San Francisco Department of Public Works.</w:t>
      </w:r>
    </w:p>
    <w:bookmarkEnd w:id="22"/>
    <w:bookmarkStart w:id="23" w:name="safety-and-regulatory-compliance"/>
    <w:p>
      <w:pPr>
        <w:pStyle w:val="Heading2"/>
      </w:pPr>
      <w:r>
        <w:t xml:space="preserve">3.0 Safety and Regulatory Compliance</w:t>
      </w:r>
    </w:p>
    <w:p>
      <w:pPr>
        <w:pStyle w:val="FirstParagraph"/>
      </w:pPr>
      <w:r>
        <w:t xml:space="preserve">Safety is paramount. The Environmental Engineer must adhere to the following:</w:t>
      </w:r>
    </w:p>
    <w:p>
      <w:pPr>
        <w:numPr>
          <w:ilvl w:val="0"/>
          <w:numId w:val="1002"/>
        </w:numPr>
        <w:pStyle w:val="Compact"/>
      </w:pPr>
      <w:r>
        <w:rPr>
          <w:bCs/>
          <w:b/>
        </w:rPr>
        <w:t xml:space="preserve">PPE:</w:t>
      </w:r>
      <w:r>
        <w:t xml:space="preserve"> </w:t>
      </w:r>
      <w:r>
        <w:t xml:space="preserve">High-visibility vests, steel-toed boots, nitrile gloves, and N95 respirators are mandatory.</w:t>
      </w:r>
    </w:p>
    <w:p>
      <w:pPr>
        <w:numPr>
          <w:ilvl w:val="0"/>
          <w:numId w:val="1002"/>
        </w:numPr>
        <w:pStyle w:val="Compact"/>
      </w:pPr>
      <w:r>
        <w:rPr>
          <w:bCs/>
          <w:b/>
        </w:rPr>
        <w:t xml:space="preserve">Traffic Control:</w:t>
      </w:r>
      <w:r>
        <w:t xml:space="preserve"> </w:t>
      </w:r>
      <w:r>
        <w:t xml:space="preserve">If sampling near active roadways, a Traffic Control Plan compliant with the California Manual on Uniform Traffic Control Devices (MUTCD) must be implemented.</w:t>
      </w:r>
    </w:p>
    <w:p>
      <w:pPr>
        <w:numPr>
          <w:ilvl w:val="0"/>
          <w:numId w:val="1002"/>
        </w:numPr>
        <w:pStyle w:val="Compact"/>
      </w:pPr>
      <w:r>
        <w:rPr>
          <w:bCs/>
          <w:b/>
        </w:rPr>
        <w:t xml:space="preserve">Biological Hazards:</w:t>
      </w:r>
      <w:r>
        <w:t xml:space="preserve"> </w:t>
      </w:r>
      <w:r>
        <w:t xml:space="preserve">Stormwater may contain pathogens. Avoid skin contact and wash hands thoroughly after sampling.</w:t>
      </w:r>
    </w:p>
    <w:p>
      <w:pPr>
        <w:numPr>
          <w:ilvl w:val="0"/>
          <w:numId w:val="1002"/>
        </w:numPr>
        <w:pStyle w:val="Compact"/>
      </w:pPr>
      <w:r>
        <w:rPr>
          <w:bCs/>
          <w:b/>
        </w:rPr>
        <w:t xml:space="preserve">Permits:</w:t>
      </w:r>
      <w:r>
        <w:t xml:space="preserve"> </w:t>
      </w:r>
      <w:r>
        <w:t xml:space="preserve">Ensure all activities comply with the National Pollutant Discharge Elimination System (NPDES) permit requirements for the San Francisco Bay Area.</w:t>
      </w:r>
    </w:p>
    <w:bookmarkEnd w:id="23"/>
    <w:bookmarkStart w:id="24" w:name="materials-and-equipment"/>
    <w:p>
      <w:pPr>
        <w:pStyle w:val="Heading2"/>
      </w:pPr>
      <w:r>
        <w:t xml:space="preserve">4.0 Materials and Equipment</w:t>
      </w:r>
    </w:p>
    <w:p>
      <w:pPr>
        <w:pStyle w:val="FirstParagraph"/>
      </w:pPr>
      <w:r>
        <w:t xml:space="preserve">The following equipment must be calibrated and sanitized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Grab Sampling Bottles</w:t>
            </w:r>
          </w:p>
        </w:tc>
        <w:tc>
          <w:tcPr/>
          <w:p>
            <w:pPr>
              <w:pStyle w:val="Compact"/>
              <w:jc w:val="left"/>
            </w:pPr>
            <w:r>
              <w:t xml:space="preserve">1L HDPE (for metals), 2L Glass (for organics)</w:t>
            </w:r>
          </w:p>
        </w:tc>
        <w:tc>
          <w:tcPr/>
          <w:p>
            <w:pPr>
              <w:pStyle w:val="Compact"/>
              <w:jc w:val="left"/>
            </w:pPr>
            <w:r>
              <w:t xml:space="preserve">20</w:t>
            </w:r>
          </w:p>
        </w:tc>
      </w:tr>
      <w:tr>
        <w:tc>
          <w:tcPr/>
          <w:p>
            <w:pPr>
              <w:pStyle w:val="Compact"/>
              <w:jc w:val="left"/>
            </w:pPr>
            <w:r>
              <w:t xml:space="preserve">Flow Meter</w:t>
            </w:r>
          </w:p>
        </w:tc>
        <w:tc>
          <w:tcPr/>
          <w:p>
            <w:pPr>
              <w:pStyle w:val="Compact"/>
              <w:jc w:val="left"/>
            </w:pPr>
            <w:r>
              <w:t xml:space="preserve">Acoustic Doppler or Propeller type</w:t>
            </w:r>
          </w:p>
        </w:tc>
        <w:tc>
          <w:tcPr/>
          <w:p>
            <w:pPr>
              <w:pStyle w:val="Compact"/>
              <w:jc w:val="left"/>
            </w:pPr>
            <w:r>
              <w:t xml:space="preserve">1</w:t>
            </w:r>
          </w:p>
        </w:tc>
      </w:tr>
      <w:tr>
        <w:tc>
          <w:tcPr/>
          <w:p>
            <w:pPr>
              <w:pStyle w:val="Compact"/>
              <w:jc w:val="left"/>
            </w:pPr>
            <w:r>
              <w:t xml:space="preserve">pH/Conductivity Meter</w:t>
            </w:r>
          </w:p>
        </w:tc>
        <w:tc>
          <w:tcPr/>
          <w:p>
            <w:pPr>
              <w:pStyle w:val="Compact"/>
              <w:jc w:val="left"/>
            </w:pPr>
            <w:r>
              <w:t xml:space="preserve">Calibrated to NIST standards</w:t>
            </w:r>
          </w:p>
        </w:tc>
        <w:tc>
          <w:tcPr/>
          <w:p>
            <w:pPr>
              <w:pStyle w:val="Compact"/>
              <w:jc w:val="left"/>
            </w:pPr>
            <w:r>
              <w:t xml:space="preserve">1</w:t>
            </w:r>
          </w:p>
        </w:tc>
      </w:tr>
      <w:tr>
        <w:tc>
          <w:tcPr/>
          <w:p>
            <w:pPr>
              <w:pStyle w:val="Compact"/>
              <w:jc w:val="left"/>
            </w:pPr>
            <w:r>
              <w:t xml:space="preserve">Microplastic Nets</w:t>
            </w:r>
          </w:p>
        </w:tc>
        <w:tc>
          <w:tcPr/>
          <w:p>
            <w:pPr>
              <w:pStyle w:val="Compact"/>
              <w:jc w:val="left"/>
            </w:pPr>
            <w:r>
              <w:t xml:space="preserve">333-micron mesh size</w:t>
            </w:r>
          </w:p>
        </w:tc>
        <w:tc>
          <w:tcPr/>
          <w:p>
            <w:pPr>
              <w:pStyle w:val="Compact"/>
              <w:jc w:val="left"/>
            </w:pPr>
            <w:r>
              <w:t xml:space="preserve">3</w:t>
            </w:r>
          </w:p>
        </w:tc>
      </w:tr>
      <w:tr>
        <w:tc>
          <w:tcPr/>
          <w:p>
            <w:pPr>
              <w:pStyle w:val="Compact"/>
              <w:jc w:val="left"/>
            </w:pPr>
            <w:r>
              <w:t xml:space="preserve">Coolers with Ice</w:t>
            </w:r>
          </w:p>
        </w:tc>
        <w:tc>
          <w:tcPr/>
          <w:p>
            <w:pPr>
              <w:pStyle w:val="Compact"/>
              <w:jc w:val="left"/>
            </w:pPr>
            <w:r>
              <w:t xml:space="preserve">Insulated, maintaining 4°C</w:t>
            </w:r>
          </w:p>
        </w:tc>
        <w:tc>
          <w:tcPr/>
          <w:p>
            <w:pPr>
              <w:pStyle w:val="Compact"/>
              <w:jc w:val="left"/>
            </w:pPr>
            <w:r>
              <w:t xml:space="preserve">2</w:t>
            </w:r>
          </w:p>
        </w:tc>
      </w:tr>
    </w:tbl>
    <w:bookmarkEnd w:id="24"/>
    <w:bookmarkStart w:id="28" w:name="methodology"/>
    <w:p>
      <w:pPr>
        <w:pStyle w:val="Heading2"/>
      </w:pPr>
      <w:r>
        <w:t xml:space="preserve">5.0 Methodology</w:t>
      </w:r>
    </w:p>
    <w:bookmarkStart w:id="25" w:name="pre-sampling-preparation"/>
    <w:p>
      <w:pPr>
        <w:pStyle w:val="Heading3"/>
      </w:pPr>
      <w:r>
        <w:t xml:space="preserve">5.1 Pre-Sampling Preparation</w:t>
      </w:r>
    </w:p>
    <w:p>
      <w:pPr>
        <w:pStyle w:val="FirstParagraph"/>
      </w:pPr>
      <w:r>
        <w:t xml:space="preserve">The Environmental Engineer must review weather forecasts from the National Weather Service (San Francisco station). Sampling is triggered when rainfall exceeds 0.1 inches within a 24-hour dry period. All glassware must be acid-washed (10% nitric acid) and rinsed with deionized water to prevent contamination.</w:t>
      </w:r>
    </w:p>
    <w:bookmarkEnd w:id="25"/>
    <w:bookmarkStart w:id="26" w:name="field-sampling-procedure"/>
    <w:p>
      <w:pPr>
        <w:pStyle w:val="Heading3"/>
      </w:pPr>
      <w:r>
        <w:t xml:space="preserve">5.2 Field Sampling Procedure</w:t>
      </w:r>
    </w:p>
    <w:p>
      <w:pPr>
        <w:numPr>
          <w:ilvl w:val="0"/>
          <w:numId w:val="1003"/>
        </w:numPr>
        <w:pStyle w:val="Compact"/>
      </w:pPr>
      <w:r>
        <w:rPr>
          <w:bCs/>
          <w:b/>
        </w:rPr>
        <w:t xml:space="preserve">Arrival:</w:t>
      </w:r>
      <w:r>
        <w:t xml:space="preserve"> </w:t>
      </w:r>
      <w:r>
        <w:t xml:space="preserve">Arrive at the site 30 minutes before the predicted peak flow.</w:t>
      </w:r>
    </w:p>
    <w:p>
      <w:pPr>
        <w:numPr>
          <w:ilvl w:val="0"/>
          <w:numId w:val="1003"/>
        </w:numPr>
        <w:pStyle w:val="Compact"/>
      </w:pPr>
      <w:r>
        <w:rPr>
          <w:bCs/>
          <w:b/>
        </w:rPr>
        <w:t xml:space="preserve">Initial Measurements:</w:t>
      </w:r>
      <w:r>
        <w:t xml:space="preserve"> </w:t>
      </w:r>
      <w:r>
        <w:t xml:space="preserve">Measure and record pH, dissolved oxygen, temperature, and conductivity at the discharge point.</w:t>
      </w:r>
    </w:p>
    <w:p>
      <w:pPr>
        <w:numPr>
          <w:ilvl w:val="0"/>
          <w:numId w:val="1003"/>
        </w:numPr>
        <w:pStyle w:val="Compact"/>
      </w:pPr>
      <w:r>
        <w:rPr>
          <w:bCs/>
          <w:b/>
        </w:rPr>
        <w:t xml:space="preserve">Flow Measurement:</w:t>
      </w:r>
      <w:r>
        <w:t xml:space="preserve"> </w:t>
      </w:r>
      <w:r>
        <w:t xml:space="preserve">Use the flow meter to determine the discharge rate (cfs). This is critical for calculating pollutant load.</w:t>
      </w:r>
    </w:p>
    <w:p>
      <w:pPr>
        <w:numPr>
          <w:ilvl w:val="0"/>
          <w:numId w:val="1003"/>
        </w:numPr>
        <w:pStyle w:val="Compact"/>
      </w:pPr>
      <w:r>
        <w:rPr>
          <w:bCs/>
          <w:b/>
        </w:rPr>
        <w:t xml:space="preserve">Grab Sampling:</w:t>
      </w:r>
      <w:r>
        <w:t xml:space="preserve"> </w:t>
      </w:r>
      <w:r>
        <w:t xml:space="preserve">Collect composite samples. For metals, fill HDPE bottles to the brim to eliminate headspace. For microplastics, deploy nets for a fixed duration (e.g., 10 minutes) or until a specific volume is filtered.</w:t>
      </w:r>
    </w:p>
    <w:p>
      <w:pPr>
        <w:numPr>
          <w:ilvl w:val="0"/>
          <w:numId w:val="1003"/>
        </w:numPr>
        <w:pStyle w:val="Compact"/>
      </w:pPr>
      <w:r>
        <w:rPr>
          <w:bCs/>
          <w:b/>
        </w:rPr>
        <w:t xml:space="preserve">Preservation:</w:t>
      </w:r>
      <w:r>
        <w:t xml:space="preserve"> </w:t>
      </w:r>
      <w:r>
        <w:t xml:space="preserve">Immediately place samples in coolers. Acidify metal samples to pH &lt; 2 using ultrapure nitric acid.</w:t>
      </w:r>
    </w:p>
    <w:bookmarkEnd w:id="26"/>
    <w:bookmarkStart w:id="27" w:name="laboratory-analysis"/>
    <w:p>
      <w:pPr>
        <w:pStyle w:val="Heading3"/>
      </w:pPr>
      <w:r>
        <w:t xml:space="preserve">5.3 Laboratory Analysis</w:t>
      </w:r>
    </w:p>
    <w:p>
      <w:pPr>
        <w:pStyle w:val="FirstParagraph"/>
      </w:pPr>
      <w:r>
        <w:t xml:space="preserve">Transport samples to an accredited laboratory within 24 hours. Analysis will include:</w:t>
      </w:r>
    </w:p>
    <w:p>
      <w:pPr>
        <w:numPr>
          <w:ilvl w:val="0"/>
          <w:numId w:val="1004"/>
        </w:numPr>
        <w:pStyle w:val="Compact"/>
      </w:pPr>
      <w:r>
        <w:rPr>
          <w:bCs/>
          <w:b/>
        </w:rPr>
        <w:t xml:space="preserve">Heavy Metals:</w:t>
      </w:r>
      <w:r>
        <w:t xml:space="preserve"> </w:t>
      </w:r>
      <w:r>
        <w:t xml:space="preserve">Inductively Coupled Plasma Mass Spectrometry (ICP-MS).</w:t>
      </w:r>
    </w:p>
    <w:p>
      <w:pPr>
        <w:numPr>
          <w:ilvl w:val="0"/>
          <w:numId w:val="1004"/>
        </w:numPr>
        <w:pStyle w:val="Compact"/>
      </w:pPr>
      <w:r>
        <w:rPr>
          <w:bCs/>
          <w:b/>
        </w:rPr>
        <w:t xml:space="preserve">Microplastics:</w:t>
      </w:r>
      <w:r>
        <w:t xml:space="preserve"> </w:t>
      </w:r>
      <w:r>
        <w:t xml:space="preserve">Fourier-transform infrared spectroscopy (FTIR) for polymer identification.</w:t>
      </w:r>
    </w:p>
    <w:p>
      <w:pPr>
        <w:numPr>
          <w:ilvl w:val="0"/>
          <w:numId w:val="1004"/>
        </w:numPr>
        <w:pStyle w:val="Compact"/>
      </w:pPr>
      <w:r>
        <w:rPr>
          <w:bCs/>
          <w:b/>
        </w:rPr>
        <w:t xml:space="preserve">Nutrients:</w:t>
      </w:r>
      <w:r>
        <w:t xml:space="preserve"> </w:t>
      </w:r>
      <w:r>
        <w:t xml:space="preserve">Colorimetric analysis for Nitrogen and Phosphorus.</w:t>
      </w:r>
    </w:p>
    <w:bookmarkEnd w:id="27"/>
    <w:bookmarkEnd w:id="28"/>
    <w:bookmarkStart w:id="29" w:name="data-analysis-and-reporting"/>
    <w:p>
      <w:pPr>
        <w:pStyle w:val="Heading2"/>
      </w:pPr>
      <w:r>
        <w:t xml:space="preserve">6.0 Data Analysis and Reporting</w:t>
      </w:r>
    </w:p>
    <w:p>
      <w:pPr>
        <w:pStyle w:val="FirstParagraph"/>
      </w:pPr>
      <w:r>
        <w:t xml:space="preserve">The Environmental Engineer is responsible for compiling the data into a comprehensive report. The analysis must calculate the Total Maximum Daily Load (TMDL) contributions of the sampled sites. Data should be compared against the San Francisco Bay Regional Water Quality Control Board standards.</w:t>
      </w:r>
    </w:p>
    <w:p>
      <w:pPr>
        <w:pStyle w:val="BodyText"/>
      </w:pPr>
      <w:r>
        <w:t xml:space="preserve">Statistical analysis should be performed to determine if there is a significant difference in pollutant concentrations between the commercial (Site A) and residential (Site B) areas. Results must be documented in a format suitable for submission to the SFPUC.</w:t>
      </w:r>
    </w:p>
    <w:bookmarkEnd w:id="29"/>
    <w:bookmarkStart w:id="30" w:name="X821d2f34bdaf57637cbbf49b6dc1cefe6766a7d"/>
    <w:p>
      <w:pPr>
        <w:pStyle w:val="Heading2"/>
      </w:pPr>
      <w:r>
        <w:t xml:space="preserve">7.0 Quality Assurance and Quality Control (QA/QC)</w:t>
      </w:r>
    </w:p>
    <w:p>
      <w:pPr>
        <w:pStyle w:val="FirstParagraph"/>
      </w:pPr>
      <w:r>
        <w:t xml:space="preserve">To ensure data integrity:</w:t>
      </w:r>
    </w:p>
    <w:p>
      <w:pPr>
        <w:numPr>
          <w:ilvl w:val="0"/>
          <w:numId w:val="1005"/>
        </w:numPr>
        <w:pStyle w:val="Compact"/>
      </w:pPr>
      <w:r>
        <w:t xml:space="preserve">Collect one field blank per sampling event.</w:t>
      </w:r>
    </w:p>
    <w:p>
      <w:pPr>
        <w:numPr>
          <w:ilvl w:val="0"/>
          <w:numId w:val="1005"/>
        </w:numPr>
        <w:pStyle w:val="Compact"/>
      </w:pPr>
      <w:r>
        <w:t xml:space="preserve">Collect one duplicate sample for every 10 samples.</w:t>
      </w:r>
    </w:p>
    <w:p>
      <w:pPr>
        <w:numPr>
          <w:ilvl w:val="0"/>
          <w:numId w:val="1005"/>
        </w:numPr>
        <w:pStyle w:val="Compact"/>
      </w:pPr>
      <w:r>
        <w:t xml:space="preserve">Calibrate all field instruments before and after each sampling event.</w:t>
      </w:r>
    </w:p>
    <w:p>
      <w:pPr>
        <w:numPr>
          <w:ilvl w:val="0"/>
          <w:numId w:val="1005"/>
        </w:numPr>
        <w:pStyle w:val="Compact"/>
      </w:pPr>
      <w:r>
        <w:t xml:space="preserve">Maintain a detailed chain of custody for all samples.</w:t>
      </w:r>
    </w:p>
    <w:bookmarkEnd w:id="30"/>
    <w:bookmarkStart w:id="31" w:name="conclusion"/>
    <w:p>
      <w:pPr>
        <w:pStyle w:val="Heading2"/>
      </w:pPr>
      <w:r>
        <w:t xml:space="preserve">8.0 Conclusion</w:t>
      </w:r>
    </w:p>
    <w:p>
      <w:pPr>
        <w:pStyle w:val="FirstParagraph"/>
      </w:pPr>
      <w:r>
        <w:t xml:space="preserve">This protocol provides a rigorous framework for the Environmental Engineer to assess water quality in San Francisco. By adhering to these steps, we ensure that the data collected is accurate, defensible, and useful for improving the environmental health of the San Francisco Bay ecosystem.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Quality Assessment</dc:title>
  <dc:creator/>
  <dc:language>en</dc:language>
  <cp:keywords/>
  <dcterms:created xsi:type="dcterms:W3CDTF">2026-10-10T02:34:02Z</dcterms:created>
  <dcterms:modified xsi:type="dcterms:W3CDTF">2026-10-10T02:34:02Z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