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Water</w:t>
      </w:r>
      <w:r>
        <w:t xml:space="preserve"> </w:t>
      </w:r>
      <w:r>
        <w:t xml:space="preserve">Quality</w:t>
      </w:r>
      <w:r>
        <w:t xml:space="preserve"> </w:t>
      </w:r>
      <w:r>
        <w:t xml:space="preserve">Assessment</w:t>
      </w:r>
    </w:p>
    <w:bookmarkStart w:id="30" w:name="X5b99d0b3719f966998716eeb56bf662e36d80e1"/>
    <w:p>
      <w:pPr>
        <w:pStyle w:val="Heading1"/>
      </w:pPr>
      <w:r>
        <w:t xml:space="preserve">Experiment Protocol: Urban Water Quality Assessment</w:t>
      </w:r>
    </w:p>
    <w:p>
      <w:pPr>
        <w:pStyle w:val="FirstParagraph"/>
      </w:pPr>
      <w:r>
        <w:rPr>
          <w:bCs/>
          <w:b/>
        </w:rPr>
        <w:t xml:space="preserve">Project Title:</w:t>
      </w:r>
      <w:r>
        <w:t xml:space="preserve"> </w:t>
      </w:r>
      <w:r>
        <w:t xml:space="preserve">Assessment of Heavy Metal Contamination and Microplastic Concentration in the Saigon River Basin</w:t>
      </w:r>
    </w:p>
    <w:p>
      <w:pPr>
        <w:pStyle w:val="BodyText"/>
      </w:pPr>
      <w:r>
        <w:rPr>
          <w:bCs/>
          <w:b/>
        </w:rPr>
        <w:t xml:space="preserve">Location:</w:t>
      </w:r>
      <w:r>
        <w:t xml:space="preserve"> </w:t>
      </w:r>
      <w:r>
        <w:t xml:space="preserve">Vietnam Ho Chi Minh City (Districts 1, 2, and 7)</w:t>
      </w:r>
    </w:p>
    <w:p>
      <w:pPr>
        <w:pStyle w:val="BodyText"/>
      </w:pPr>
      <w:r>
        <w:rPr>
          <w:bCs/>
          <w:b/>
        </w:rPr>
        <w:t xml:space="preserve">Lead Role:</w:t>
      </w:r>
      <w:r>
        <w:t xml:space="preserve"> </w:t>
      </w:r>
      <w:r>
        <w:t xml:space="preserve">Environmental Engineer</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the collection, preservation, and analysis of water and sediment samples within the urban waterways of Vietnam Ho Chi Minh City. As the economic hub of the nation, Ho Chi Minh City faces significant environmental challenges due to rapid industrialization and urbanization. The primary objective of this study is to quantify the levels of heavy metals (specifically Lead, Cadmium, and Mercury) and microplastics in the Saigon River and its tributaries.</w:t>
      </w:r>
    </w:p>
    <w:p>
      <w:pPr>
        <w:pStyle w:val="BodyText"/>
      </w:pPr>
      <w:r>
        <w:t xml:space="preserve">The Environmental Engineer leading this project is responsible for ensuring that all data collected meets international standards while adhering to local Vietnamese environmental regulations. This protocol is designed to provide reproducible results that can inform policy decisions regarding wastewater treatment and industrial discharge limits in the city.</w:t>
      </w:r>
    </w:p>
    <w:bookmarkEnd w:id="20"/>
    <w:bookmarkStart w:id="21" w:name="scope-and-site-selection"/>
    <w:p>
      <w:pPr>
        <w:pStyle w:val="Heading2"/>
      </w:pPr>
      <w:r>
        <w:t xml:space="preserve">2. Scope and Site Selection</w:t>
      </w:r>
    </w:p>
    <w:p>
      <w:pPr>
        <w:pStyle w:val="FirstParagraph"/>
      </w:pPr>
      <w:r>
        <w:t xml:space="preserve">The scope of this experiment covers three distinct zones within Vietnam Ho Chi Minh City:</w:t>
      </w:r>
    </w:p>
    <w:p>
      <w:pPr>
        <w:numPr>
          <w:ilvl w:val="0"/>
          <w:numId w:val="1001"/>
        </w:numPr>
        <w:pStyle w:val="Compact"/>
      </w:pPr>
      <w:r>
        <w:rPr>
          <w:bCs/>
          <w:b/>
        </w:rPr>
        <w:t xml:space="preserve">Zone A (Industrial):</w:t>
      </w:r>
      <w:r>
        <w:t xml:space="preserve"> </w:t>
      </w:r>
      <w:r>
        <w:t xml:space="preserve">Tan Thuan East Industrial Park area, District 7.</w:t>
      </w:r>
    </w:p>
    <w:p>
      <w:pPr>
        <w:numPr>
          <w:ilvl w:val="0"/>
          <w:numId w:val="1001"/>
        </w:numPr>
        <w:pStyle w:val="Compact"/>
      </w:pPr>
      <w:r>
        <w:rPr>
          <w:bCs/>
          <w:b/>
        </w:rPr>
        <w:t xml:space="preserve">Zone B (Urban Residential):</w:t>
      </w:r>
      <w:r>
        <w:t xml:space="preserve"> </w:t>
      </w:r>
      <w:r>
        <w:t xml:space="preserve">Ben Nghe River section, District 1.</w:t>
      </w:r>
    </w:p>
    <w:p>
      <w:pPr>
        <w:numPr>
          <w:ilvl w:val="0"/>
          <w:numId w:val="1001"/>
        </w:numPr>
        <w:pStyle w:val="Compact"/>
      </w:pPr>
      <w:r>
        <w:rPr>
          <w:bCs/>
          <w:b/>
        </w:rPr>
        <w:t xml:space="preserve">Zone C (Upstream/Reference):</w:t>
      </w:r>
      <w:r>
        <w:t xml:space="preserve"> </w:t>
      </w:r>
      <w:r>
        <w:t xml:space="preserve">Thu Thiem area, District 2.</w:t>
      </w:r>
    </w:p>
    <w:p>
      <w:pPr>
        <w:pStyle w:val="FirstParagraph"/>
      </w:pPr>
      <w:r>
        <w:t xml:space="preserve">The Environmental Engineer must verify GPS coordinates for each sampling point prior to deployment to ensure spatial accuracy. Sampling will occur during both the dry season and the wet season to account for hydrological variations typical of the Mekong Delta region.</w:t>
      </w:r>
    </w:p>
    <w:bookmarkEnd w:id="21"/>
    <w:bookmarkStart w:id="22" w:name="materials-and-equipment"/>
    <w:p>
      <w:pPr>
        <w:pStyle w:val="Heading2"/>
      </w:pPr>
      <w:r>
        <w:t xml:space="preserve">3. Materials and Equipment</w:t>
      </w:r>
    </w:p>
    <w:p>
      <w:pPr>
        <w:pStyle w:val="FirstParagraph"/>
      </w:pPr>
      <w:r>
        <w:t xml:space="preserve">The following equipment must be calibrated and sanitized before use: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Water Sampler</w:t>
            </w:r>
          </w:p>
        </w:tc>
        <w:tc>
          <w:tcPr/>
          <w:p>
            <w:pPr>
              <w:pStyle w:val="Compact"/>
              <w:jc w:val="left"/>
            </w:pPr>
            <w:r>
              <w:t xml:space="preserve">Van Dorn or Niskin bottle (Acid-washed)</w:t>
            </w:r>
          </w:p>
        </w:tc>
        <w:tc>
          <w:tcPr/>
          <w:p>
            <w:pPr>
              <w:pStyle w:val="Compact"/>
              <w:jc w:val="left"/>
            </w:pPr>
            <w:r>
              <w:t xml:space="preserve">3</w:t>
            </w:r>
          </w:p>
        </w:tc>
      </w:tr>
      <w:tr>
        <w:tc>
          <w:tcPr/>
          <w:p>
            <w:pPr>
              <w:pStyle w:val="Compact"/>
              <w:jc w:val="left"/>
            </w:pPr>
            <w:r>
              <w:t xml:space="preserve">Sediment Corer</w:t>
            </w:r>
          </w:p>
        </w:tc>
        <w:tc>
          <w:tcPr/>
          <w:p>
            <w:pPr>
              <w:pStyle w:val="Compact"/>
              <w:jc w:val="left"/>
            </w:pPr>
            <w:r>
              <w:t xml:space="preserve">Grab sampler (Van Veen type)</w:t>
            </w:r>
          </w:p>
        </w:tc>
        <w:tc>
          <w:tcPr/>
          <w:p>
            <w:pPr>
              <w:pStyle w:val="Compact"/>
              <w:jc w:val="left"/>
            </w:pPr>
            <w:r>
              <w:t xml:space="preserve">1</w:t>
            </w:r>
          </w:p>
        </w:tc>
      </w:tr>
      <w:tr>
        <w:tc>
          <w:tcPr/>
          <w:p>
            <w:pPr>
              <w:pStyle w:val="Compact"/>
              <w:jc w:val="left"/>
            </w:pPr>
            <w:r>
              <w:t xml:space="preserve">Preservation Bottles</w:t>
            </w:r>
          </w:p>
        </w:tc>
        <w:tc>
          <w:tcPr/>
          <w:p>
            <w:pPr>
              <w:pStyle w:val="Compact"/>
              <w:jc w:val="left"/>
            </w:pPr>
            <w:r>
              <w:t xml:space="preserve">HDPE (500ml) for metals; Glass (1L) for organics</w:t>
            </w:r>
          </w:p>
        </w:tc>
        <w:tc>
          <w:tcPr/>
          <w:p>
            <w:pPr>
              <w:pStyle w:val="Compact"/>
              <w:jc w:val="left"/>
            </w:pPr>
            <w:r>
              <w:t xml:space="preserve">50</w:t>
            </w:r>
          </w:p>
        </w:tc>
      </w:tr>
      <w:tr>
        <w:tc>
          <w:tcPr/>
          <w:p>
            <w:pPr>
              <w:pStyle w:val="Compact"/>
              <w:jc w:val="left"/>
            </w:pPr>
            <w:r>
              <w:t xml:space="preserve">Field Meter</w:t>
            </w:r>
          </w:p>
        </w:tc>
        <w:tc>
          <w:tcPr/>
          <w:p>
            <w:pPr>
              <w:pStyle w:val="Compact"/>
              <w:jc w:val="left"/>
            </w:pPr>
            <w:r>
              <w:t xml:space="preserve">Multi-parameter probe (pH, DO, Conductivity, Turbidity)</w:t>
            </w:r>
          </w:p>
        </w:tc>
        <w:tc>
          <w:tcPr/>
          <w:p>
            <w:pPr>
              <w:pStyle w:val="Compact"/>
              <w:jc w:val="left"/>
            </w:pPr>
            <w:r>
              <w:t xml:space="preserve">1</w:t>
            </w:r>
          </w:p>
        </w:tc>
      </w:tr>
      <w:tr>
        <w:tc>
          <w:tcPr/>
          <w:p>
            <w:pPr>
              <w:pStyle w:val="Compact"/>
              <w:jc w:val="left"/>
            </w:pPr>
            <w:r>
              <w:t xml:space="preserve">Microplastic Nets</w:t>
            </w:r>
          </w:p>
        </w:tc>
        <w:tc>
          <w:tcPr/>
          <w:p>
            <w:pPr>
              <w:pStyle w:val="Compact"/>
              <w:jc w:val="left"/>
            </w:pPr>
            <w:r>
              <w:t xml:space="preserve">333-micron mesh manta trawl</w:t>
            </w:r>
          </w:p>
        </w:tc>
        <w:tc>
          <w:tcPr/>
          <w:p>
            <w:pPr>
              <w:pStyle w:val="Compact"/>
              <w:jc w:val="left"/>
            </w:pPr>
            <w:r>
              <w:t xml:space="preserve">2</w:t>
            </w:r>
          </w:p>
        </w:tc>
      </w:tr>
    </w:tbl>
    <w:bookmarkEnd w:id="22"/>
    <w:bookmarkStart w:id="23" w:name="safety-and-regulatory-compliance"/>
    <w:p>
      <w:pPr>
        <w:pStyle w:val="Heading2"/>
      </w:pPr>
      <w:r>
        <w:t xml:space="preserve">4. Safety and Regulatory Compliance</w:t>
      </w:r>
    </w:p>
    <w:p>
      <w:pPr>
        <w:pStyle w:val="FirstParagraph"/>
      </w:pPr>
      <w:r>
        <w:rPr>
          <w:bCs/>
          <w:b/>
        </w:rPr>
        <w:t xml:space="preserve">Warning:</w:t>
      </w:r>
      <w:r>
        <w:t xml:space="preserve"> </w:t>
      </w:r>
      <w:r>
        <w:t xml:space="preserve">Sampling in Vietnam Ho Chi Minh City involves working near heavy boat traffic and potentially contaminated water. Personal Protective Equipment (PPE) is mandatory.</w:t>
      </w:r>
    </w:p>
    <w:p>
      <w:pPr>
        <w:pStyle w:val="BodyText"/>
      </w:pPr>
      <w:r>
        <w:t xml:space="preserve">The Environmental Engineer must ensure the team wears life jackets, chemical-resistant gloves, and safety boots. All activities must comply with the</w:t>
      </w:r>
      <w:r>
        <w:t xml:space="preserve"> </w:t>
      </w:r>
      <w:r>
        <w:rPr>
          <w:iCs/>
          <w:i/>
        </w:rPr>
        <w:t xml:space="preserve">Law on Environmental Protection of Vietnam</w:t>
      </w:r>
      <w:r>
        <w:t xml:space="preserve">. Permits for water sampling must be obtained from the Ho Chi Minh City Department of Natural Resources and Environment (DONRE) prior to the start of the experiment.</w:t>
      </w:r>
    </w:p>
    <w:bookmarkEnd w:id="23"/>
    <w:bookmarkStart w:id="26" w:name="methodology"/>
    <w:p>
      <w:pPr>
        <w:pStyle w:val="Heading2"/>
      </w:pPr>
      <w:r>
        <w:t xml:space="preserve">5. Methodology</w:t>
      </w:r>
    </w:p>
    <w:bookmarkStart w:id="24" w:name="field-sampling-procedure"/>
    <w:p>
      <w:pPr>
        <w:pStyle w:val="Heading3"/>
      </w:pPr>
      <w:r>
        <w:t xml:space="preserve">5.1. Field Sampling Procedure</w:t>
      </w:r>
    </w:p>
    <w:p>
      <w:pPr>
        <w:numPr>
          <w:ilvl w:val="0"/>
          <w:numId w:val="1002"/>
        </w:numPr>
        <w:pStyle w:val="Compact"/>
      </w:pPr>
      <w:r>
        <w:rPr>
          <w:bCs/>
          <w:b/>
        </w:rPr>
        <w:t xml:space="preserve">Site Arrival:</w:t>
      </w:r>
      <w:r>
        <w:t xml:space="preserve"> </w:t>
      </w:r>
      <w:r>
        <w:t xml:space="preserve">The Environmental Engineer will record weather conditions, water level, and visual observations (e.g., presence of oil slicks or debris).</w:t>
      </w:r>
    </w:p>
    <w:p>
      <w:pPr>
        <w:numPr>
          <w:ilvl w:val="0"/>
          <w:numId w:val="1002"/>
        </w:numPr>
        <w:pStyle w:val="Compact"/>
      </w:pPr>
      <w:r>
        <w:rPr>
          <w:bCs/>
          <w:b/>
        </w:rPr>
        <w:t xml:space="preserve">In-situ Measurements:</w:t>
      </w:r>
      <w:r>
        <w:t xml:space="preserve"> </w:t>
      </w:r>
      <w:r>
        <w:t xml:space="preserve">Lower the multi-parameter probe to a depth of 0.5 meters below the surface. Record pH, Dissolved Oxygen (DO), Temperature, and Electrical Conductivity. Allow the probe to stabilize for 60 seconds before recording.</w:t>
      </w:r>
    </w:p>
    <w:p>
      <w:pPr>
        <w:numPr>
          <w:ilvl w:val="0"/>
          <w:numId w:val="1002"/>
        </w:numPr>
        <w:pStyle w:val="Compact"/>
      </w:pPr>
      <w:r>
        <w:rPr>
          <w:bCs/>
          <w:b/>
        </w:rPr>
        <w:t xml:space="preserve">Water Collection:</w:t>
      </w:r>
    </w:p>
    <w:p>
      <w:pPr>
        <w:numPr>
          <w:ilvl w:val="1"/>
          <w:numId w:val="1003"/>
        </w:numPr>
        <w:pStyle w:val="Compact"/>
      </w:pPr>
      <w:r>
        <w:t xml:space="preserve">For Heavy Metals: Rinse the HDPE bottle three times with site water. Fill the bottle to the brim to eliminate headspace. Immediately add concentrated Nitric Acid (HNO3) to achieve a pH &lt; 2.</w:t>
      </w:r>
    </w:p>
    <w:p>
      <w:pPr>
        <w:numPr>
          <w:ilvl w:val="1"/>
          <w:numId w:val="1003"/>
        </w:numPr>
        <w:pStyle w:val="Compact"/>
      </w:pPr>
      <w:r>
        <w:t xml:space="preserve">For Microplastics: Deploy the manta trawl for a duration of 10 minutes at a constant boat speed of 3 knots. Retrieve the net and rinse contents into a pre-cleaned glass jar.</w:t>
      </w:r>
    </w:p>
    <w:p>
      <w:pPr>
        <w:numPr>
          <w:ilvl w:val="0"/>
          <w:numId w:val="1002"/>
        </w:numPr>
        <w:pStyle w:val="Compact"/>
      </w:pPr>
      <w:r>
        <w:rPr>
          <w:bCs/>
          <w:b/>
        </w:rPr>
        <w:t xml:space="preserve">Sediment Collection:</w:t>
      </w:r>
      <w:r>
        <w:t xml:space="preserve"> </w:t>
      </w:r>
      <w:r>
        <w:t xml:space="preserve">Deploy the Van Veen grab sampler to the riverbed. Retrieve the sample and extrude the sediment into a polyethylene bag. Remove the top 2 cm of sediment to avoid surface contamination.</w:t>
      </w:r>
    </w:p>
    <w:bookmarkEnd w:id="24"/>
    <w:bookmarkStart w:id="25" w:name="sample-preservation-and-transport"/>
    <w:p>
      <w:pPr>
        <w:pStyle w:val="Heading3"/>
      </w:pPr>
      <w:r>
        <w:t xml:space="preserve">5.2. Sample Preservation and Transport</w:t>
      </w:r>
    </w:p>
    <w:p>
      <w:pPr>
        <w:pStyle w:val="FirstParagraph"/>
      </w:pPr>
      <w:r>
        <w:t xml:space="preserve">Upon collection, all samples must be placed in a cooler with ice packs (maintained at 4°C). The Environmental Engineer must ensure that samples are transported to the accredited laboratory within 24 hours. Chain of Custody (CoC) forms must be completed for every sample, documenting the time of collection, the collector's name, and the preservation method used.</w:t>
      </w:r>
    </w:p>
    <w:bookmarkEnd w:id="25"/>
    <w:bookmarkEnd w:id="26"/>
    <w:bookmarkStart w:id="27" w:name="laboratory-analysis"/>
    <w:p>
      <w:pPr>
        <w:pStyle w:val="Heading2"/>
      </w:pPr>
      <w:r>
        <w:t xml:space="preserve">6. Laboratory Analysis</w:t>
      </w:r>
    </w:p>
    <w:p>
      <w:pPr>
        <w:pStyle w:val="FirstParagraph"/>
      </w:pPr>
      <w:r>
        <w:t xml:space="preserve">Samples will be analyzed using the following techniques:</w:t>
      </w:r>
    </w:p>
    <w:p>
      <w:pPr>
        <w:numPr>
          <w:ilvl w:val="0"/>
          <w:numId w:val="1004"/>
        </w:numPr>
        <w:pStyle w:val="Compact"/>
      </w:pPr>
      <w:r>
        <w:rPr>
          <w:bCs/>
          <w:b/>
        </w:rPr>
        <w:t xml:space="preserve">Heavy Metals:</w:t>
      </w:r>
      <w:r>
        <w:t xml:space="preserve"> </w:t>
      </w:r>
      <w:r>
        <w:t xml:space="preserve">Inductively Coupled Plasma Mass Spectrometry (ICP-MS) following EPA Method 200.8.</w:t>
      </w:r>
    </w:p>
    <w:p>
      <w:pPr>
        <w:numPr>
          <w:ilvl w:val="0"/>
          <w:numId w:val="1004"/>
        </w:numPr>
        <w:pStyle w:val="Compact"/>
      </w:pPr>
      <w:r>
        <w:rPr>
          <w:bCs/>
          <w:b/>
        </w:rPr>
        <w:t xml:space="preserve">Microplastics:</w:t>
      </w:r>
      <w:r>
        <w:t xml:space="preserve"> </w:t>
      </w:r>
      <w:r>
        <w:t xml:space="preserve">Visual identification under a stereo microscope followed by Fourier Transform Infrared Spectroscopy (FTIR) for polymer identification.</w:t>
      </w:r>
    </w:p>
    <w:p>
      <w:pPr>
        <w:numPr>
          <w:ilvl w:val="0"/>
          <w:numId w:val="1004"/>
        </w:numPr>
        <w:pStyle w:val="Compact"/>
      </w:pPr>
      <w:r>
        <w:rPr>
          <w:bCs/>
          <w:b/>
        </w:rPr>
        <w:t xml:space="preserve">Sediment Analysis:</w:t>
      </w:r>
      <w:r>
        <w:t xml:space="preserve"> </w:t>
      </w:r>
      <w:r>
        <w:t xml:space="preserve">Acid digestion followed by Atomic Absorption Spectroscopy (AAS).</w:t>
      </w:r>
    </w:p>
    <w:bookmarkEnd w:id="27"/>
    <w:bookmarkStart w:id="28" w:name="data-analysis-and-reporting"/>
    <w:p>
      <w:pPr>
        <w:pStyle w:val="Heading2"/>
      </w:pPr>
      <w:r>
        <w:t xml:space="preserve">7. Data Analysis and Reporting</w:t>
      </w:r>
    </w:p>
    <w:p>
      <w:pPr>
        <w:pStyle w:val="FirstParagraph"/>
      </w:pPr>
      <w:r>
        <w:t xml:space="preserve">The Environmental Engineer will compile the data and compare the results against the Vietnamese National Technical Regulation on Surface Water Quality (QCVN 08:2008/BTNMT). Statistical analysis will be performed to identify correlations between industrial discharge points and contaminant levels. A final report will be generated, highlighting areas in Vietnam Ho Chi Minh City that require immediate remediation or stricter regulatory enforcement.</w:t>
      </w:r>
    </w:p>
    <w:bookmarkEnd w:id="28"/>
    <w:bookmarkStart w:id="29" w:name="conclusion"/>
    <w:p>
      <w:pPr>
        <w:pStyle w:val="Heading2"/>
      </w:pPr>
      <w:r>
        <w:t xml:space="preserve">8. Conclusion</w:t>
      </w:r>
    </w:p>
    <w:p>
      <w:pPr>
        <w:pStyle w:val="FirstParagraph"/>
      </w:pPr>
      <w:r>
        <w:t xml:space="preserve">This Experiment Protocol provides a rigorous framework for assessing environmental health in one of Southeast Asia's most dynamic cities. By adhering to these procedures, the Environmental Engineer ensures that the data generated is scientifically valid, legally defensible, and useful for protecting the ecosystem of the Saigon River and the public health of the residents of Vietnam Ho Chi Minh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Water Quality Assessment</dc:title>
  <dc:creator/>
  <dc:language>en</dc:language>
  <cp:keywords/>
  <dcterms:created xsi:type="dcterms:W3CDTF">2026-10-10T06:56:12Z</dcterms:created>
  <dcterms:modified xsi:type="dcterms:W3CDTF">2026-10-10T06:56:12Z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