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Bangladesh</w:t>
      </w:r>
      <w:r>
        <w:t xml:space="preserve"> </w:t>
      </w:r>
      <w:r>
        <w:t xml:space="preserve">Dhaka</w:t>
      </w:r>
    </w:p>
    <w:bookmarkStart w:id="31" w:name="Xda467a6b6a5f86ca63de720c62832d8c587e3de"/>
    <w:p>
      <w:pPr>
        <w:pStyle w:val="Heading1"/>
      </w:pPr>
      <w:r>
        <w:t xml:space="preserve">Experiment Protocol: Financial Analyst Performance in Bangladesh Dhaka</w:t>
      </w:r>
    </w:p>
    <w:p>
      <w:pPr>
        <w:pStyle w:val="FirstParagraph"/>
      </w:pPr>
      <w:r>
        <w:rPr>
          <w:bCs/>
          <w:b/>
        </w:rPr>
        <w:t xml:space="preserve">Protocol ID:</w:t>
      </w:r>
      <w:r>
        <w:t xml:space="preserve"> </w:t>
      </w:r>
      <w:r>
        <w:t xml:space="preserve">FA-BD-DHK-2024-001</w:t>
      </w:r>
    </w:p>
    <w:p>
      <w:pPr>
        <w:pStyle w:val="BodyText"/>
      </w:pPr>
      <w:r>
        <w:rPr>
          <w:bCs/>
          <w:b/>
        </w:rPr>
        <w:t xml:space="preserve">Location:</w:t>
      </w:r>
      <w:r>
        <w:t xml:space="preserve"> </w:t>
      </w:r>
      <w:r>
        <w:t xml:space="preserve">Dhaka, Bangladesh</w:t>
      </w:r>
    </w:p>
    <w:p>
      <w:pPr>
        <w:pStyle w:val="BodyText"/>
      </w:pPr>
      <w:r>
        <w:rPr>
          <w:bCs/>
          <w:b/>
        </w:rPr>
        <w:t xml:space="preserve">Subject Role:</w:t>
      </w:r>
      <w:r>
        <w:t xml:space="preserve"> </w:t>
      </w:r>
      <w:r>
        <w:t xml:space="preserve">Financial Analyst</w:t>
      </w:r>
    </w:p>
    <w:p>
      <w:pPr>
        <w:pStyle w:val="BodyText"/>
      </w:pPr>
      <w:r>
        <w:rPr>
          <w:bCs/>
          <w:b/>
        </w:rPr>
        <w:t xml:space="preserve">Date of Issue: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This Experiment Protocol outlines the methodology for evaluating the performance, decision-making capabilities, and adaptability of Financial Analysts operating within the dynamic economic environment of Bangladesh Dhaka. Dhaka serves as the financial hub of Bangladesh, hosting the Dhaka Stock Exchange (DSE), major commercial banks, multinational corporations, and a rapidly growing fintech sector. The unique regulatory landscape, currency fluctuations, and market volatility in Dhaka present specific challenges that require specialized analytical skills.</w:t>
      </w:r>
    </w:p>
    <w:p>
      <w:pPr>
        <w:pStyle w:val="BodyText"/>
      </w:pPr>
      <w:r>
        <w:t xml:space="preserve">The purpose of this experiment is to assess how Financial Analysts in Dhaka handle real-world financial data, regulatory compliance requirements set by the Bangladesh Bank and the Securities and Exchange Commission (SEC) of Bangladesh, and the integration of local market trends with global financial indicators. This protocol ensures a standardized approach to testing and evaluating these professionals.</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technical proficiency of Financial Analysts in Dhaka regarding financial modeling, risk assessment, and investment analysis.</w:t>
      </w:r>
    </w:p>
    <w:p>
      <w:pPr>
        <w:numPr>
          <w:ilvl w:val="0"/>
          <w:numId w:val="1001"/>
        </w:numPr>
        <w:pStyle w:val="Compact"/>
      </w:pPr>
      <w:r>
        <w:t xml:space="preserve">To assess the ability of analysts to interpret local economic indicators, such as inflation rates, foreign exchange reserves, and GDP growth specific to Bangladesh.</w:t>
      </w:r>
    </w:p>
    <w:p>
      <w:pPr>
        <w:numPr>
          <w:ilvl w:val="0"/>
          <w:numId w:val="1001"/>
        </w:numPr>
        <w:pStyle w:val="Compact"/>
      </w:pPr>
      <w:r>
        <w:t xml:space="preserve">To measure the effectiveness of communication skills when presenting financial insights to stakeholders in the Dhaka business community.</w:t>
      </w:r>
    </w:p>
    <w:p>
      <w:pPr>
        <w:numPr>
          <w:ilvl w:val="0"/>
          <w:numId w:val="1001"/>
        </w:numPr>
        <w:pStyle w:val="Compact"/>
      </w:pPr>
      <w:r>
        <w:t xml:space="preserve">To determine the adaptability of Financial Analysts to regulatory changes and market disruptions common in the Dhaka financial sector.</w:t>
      </w:r>
    </w:p>
    <w:bookmarkEnd w:id="21"/>
    <w:bookmarkStart w:id="22" w:name="participants"/>
    <w:p>
      <w:pPr>
        <w:pStyle w:val="Heading2"/>
      </w:pPr>
      <w:r>
        <w:t xml:space="preserve">3. Participants</w:t>
      </w:r>
    </w:p>
    <w:p>
      <w:pPr>
        <w:pStyle w:val="FirstParagraph"/>
      </w:pPr>
      <w:r>
        <w:t xml:space="preserve">The experiment will involve a sample group of 50 Financial Analysts currently employed in Dhaka, Bangladesh. Participants will be selected from diverse sectors including banking, capital markets, consulting firms, and multinational corporations. Inclusion criteria are:</w:t>
      </w:r>
    </w:p>
    <w:p>
      <w:pPr>
        <w:numPr>
          <w:ilvl w:val="0"/>
          <w:numId w:val="1002"/>
        </w:numPr>
        <w:pStyle w:val="Compact"/>
      </w:pPr>
      <w:r>
        <w:t xml:space="preserve">Minimum of 2 years of experience as a Financial Analyst in Dhaka.</w:t>
      </w:r>
    </w:p>
    <w:p>
      <w:pPr>
        <w:numPr>
          <w:ilvl w:val="0"/>
          <w:numId w:val="1002"/>
        </w:numPr>
        <w:pStyle w:val="Compact"/>
      </w:pPr>
      <w:r>
        <w:t xml:space="preserve">Proficiency in financial software tools commonly used in Bangladesh (e.g., Excel, Bloomberg, local banking systems).</w:t>
      </w:r>
    </w:p>
    <w:p>
      <w:pPr>
        <w:numPr>
          <w:ilvl w:val="0"/>
          <w:numId w:val="1002"/>
        </w:numPr>
        <w:pStyle w:val="Compact"/>
      </w:pPr>
      <w:r>
        <w:t xml:space="preserve">Willingness to participate in a controlled simulation environment.</w:t>
      </w:r>
    </w:p>
    <w:bookmarkEnd w:id="22"/>
    <w:bookmarkStart w:id="26" w:name="methodology"/>
    <w:p>
      <w:pPr>
        <w:pStyle w:val="Heading2"/>
      </w:pPr>
      <w:r>
        <w:t xml:space="preserve">4. Methodology</w:t>
      </w:r>
    </w:p>
    <w:bookmarkStart w:id="23" w:name="experimental-design"/>
    <w:p>
      <w:pPr>
        <w:pStyle w:val="Heading3"/>
      </w:pPr>
      <w:r>
        <w:t xml:space="preserve">4.1. Experimental Design</w:t>
      </w:r>
    </w:p>
    <w:p>
      <w:pPr>
        <w:pStyle w:val="FirstParagraph"/>
      </w:pPr>
      <w:r>
        <w:t xml:space="preserve">The experiment will be conducted in a controlled laboratory setting in Dhaka, simulating real-world financial scenarios. Participants will be divided into five groups, each assigned a different scenario reflecting challenges prevalent in the Dhaka financial market.</w:t>
      </w:r>
    </w:p>
    <w:bookmarkEnd w:id="23"/>
    <w:bookmarkStart w:id="24" w:name="scenarios"/>
    <w:p>
      <w:pPr>
        <w:pStyle w:val="Heading3"/>
      </w:pPr>
      <w:r>
        <w:t xml:space="preserve">4.2. Scenarios</w:t>
      </w:r>
    </w:p>
    <w:p>
      <w:pPr>
        <w:pStyle w:val="FirstParagraph"/>
      </w:pPr>
      <w:r>
        <w:t xml:space="preserve">The scenarios will include:</w:t>
      </w:r>
    </w:p>
    <w:p>
      <w:pPr>
        <w:numPr>
          <w:ilvl w:val="0"/>
          <w:numId w:val="1003"/>
        </w:numPr>
        <w:pStyle w:val="Compact"/>
      </w:pPr>
      <w:r>
        <w:rPr>
          <w:bCs/>
          <w:b/>
        </w:rPr>
        <w:t xml:space="preserve">Stock Market Volatility:</w:t>
      </w:r>
      <w:r>
        <w:t xml:space="preserve"> </w:t>
      </w:r>
      <w:r>
        <w:t xml:space="preserve">Analyzing the impact of sudden policy changes by the Bangladesh Bank on the Dhaka Stock Exchange.</w:t>
      </w:r>
    </w:p>
    <w:p>
      <w:pPr>
        <w:numPr>
          <w:ilvl w:val="0"/>
          <w:numId w:val="1003"/>
        </w:numPr>
        <w:pStyle w:val="Compact"/>
      </w:pPr>
      <w:r>
        <w:rPr>
          <w:bCs/>
          <w:b/>
        </w:rPr>
        <w:t xml:space="preserve">Currency Fluctuation:</w:t>
      </w:r>
      <w:r>
        <w:t xml:space="preserve"> </w:t>
      </w:r>
      <w:r>
        <w:t xml:space="preserve">Assessing the effect of BDT (Bangladeshi Taka) depreciation on import-dependent businesses.</w:t>
      </w:r>
    </w:p>
    <w:p>
      <w:pPr>
        <w:numPr>
          <w:ilvl w:val="0"/>
          <w:numId w:val="1003"/>
        </w:numPr>
        <w:pStyle w:val="Compact"/>
      </w:pPr>
      <w:r>
        <w:rPr>
          <w:bCs/>
          <w:b/>
        </w:rPr>
        <w:t xml:space="preserve">Regulatory Compliance:</w:t>
      </w:r>
      <w:r>
        <w:t xml:space="preserve"> </w:t>
      </w:r>
      <w:r>
        <w:t xml:space="preserve">Navigating new SEC Bangladesh guidelines for corporate disclosures.</w:t>
      </w:r>
    </w:p>
    <w:p>
      <w:pPr>
        <w:numPr>
          <w:ilvl w:val="0"/>
          <w:numId w:val="1003"/>
        </w:numPr>
        <w:pStyle w:val="Compact"/>
      </w:pPr>
      <w:r>
        <w:rPr>
          <w:bCs/>
          <w:b/>
        </w:rPr>
        <w:t xml:space="preserve">Fintech Integration:</w:t>
      </w:r>
      <w:r>
        <w:t xml:space="preserve"> </w:t>
      </w:r>
      <w:r>
        <w:t xml:space="preserve">Evaluating the financial implications of adopting digital payment systems in traditional banking.</w:t>
      </w:r>
    </w:p>
    <w:p>
      <w:pPr>
        <w:numPr>
          <w:ilvl w:val="0"/>
          <w:numId w:val="1003"/>
        </w:numPr>
        <w:pStyle w:val="Compact"/>
      </w:pPr>
      <w:r>
        <w:rPr>
          <w:bCs/>
          <w:b/>
        </w:rPr>
        <w:t xml:space="preserve">Risk Management:</w:t>
      </w:r>
      <w:r>
        <w:t xml:space="preserve"> </w:t>
      </w:r>
      <w:r>
        <w:t xml:space="preserve">Developing strategies to mitigate risks associated with political instability in Dhaka.</w:t>
      </w:r>
    </w:p>
    <w:bookmarkEnd w:id="24"/>
    <w:bookmarkStart w:id="25" w:name="data-collection"/>
    <w:p>
      <w:pPr>
        <w:pStyle w:val="Heading3"/>
      </w:pPr>
      <w:r>
        <w:t xml:space="preserve">4.3. Data Collection</w:t>
      </w:r>
    </w:p>
    <w:p>
      <w:pPr>
        <w:pStyle w:val="FirstParagraph"/>
      </w:pPr>
      <w:r>
        <w:t xml:space="preserve">Data will be collected through:</w:t>
      </w:r>
    </w:p>
    <w:p>
      <w:pPr>
        <w:numPr>
          <w:ilvl w:val="0"/>
          <w:numId w:val="1004"/>
        </w:numPr>
        <w:pStyle w:val="Compact"/>
      </w:pPr>
      <w:r>
        <w:t xml:space="preserve">Performance metrics: Accuracy of financial forecasts, speed of analysis, and quality of recommendations.</w:t>
      </w:r>
    </w:p>
    <w:p>
      <w:pPr>
        <w:numPr>
          <w:ilvl w:val="0"/>
          <w:numId w:val="1004"/>
        </w:numPr>
        <w:pStyle w:val="Compact"/>
      </w:pPr>
      <w:r>
        <w:t xml:space="preserve">Surveys: Self-assessment of confidence levels and perceived challenges.</w:t>
      </w:r>
    </w:p>
    <w:p>
      <w:pPr>
        <w:numPr>
          <w:ilvl w:val="0"/>
          <w:numId w:val="1004"/>
        </w:numPr>
        <w:pStyle w:val="Compact"/>
      </w:pPr>
      <w:r>
        <w:t xml:space="preserve">Interviews: In-depth discussions with participants to understand their decision-making processes.</w:t>
      </w:r>
    </w:p>
    <w:bookmarkEnd w:id="25"/>
    <w:bookmarkEnd w:id="26"/>
    <w:bookmarkStart w:id="27" w:name="procedure"/>
    <w:p>
      <w:pPr>
        <w:pStyle w:val="Heading2"/>
      </w:pPr>
      <w:r>
        <w:t xml:space="preserve">5. Procedure</w:t>
      </w:r>
    </w:p>
    <w:p>
      <w:pPr>
        <w:pStyle w:val="FirstParagraph"/>
      </w:pPr>
      <w:r>
        <w:t xml:space="preserve">The experiment will be conducted over a period of four weeks. The procedure is as follows:</w:t>
      </w:r>
    </w:p>
    <w:p>
      <w:pPr>
        <w:numPr>
          <w:ilvl w:val="0"/>
          <w:numId w:val="1005"/>
        </w:numPr>
        <w:pStyle w:val="Compact"/>
      </w:pPr>
      <w:r>
        <w:rPr>
          <w:bCs/>
          <w:b/>
        </w:rPr>
        <w:t xml:space="preserve">Week 1:</w:t>
      </w:r>
      <w:r>
        <w:t xml:space="preserve"> </w:t>
      </w:r>
      <w:r>
        <w:t xml:space="preserve">Recruitment and briefing of participants in Dhaka. Introduction to the experimental framework and scenarios.</w:t>
      </w:r>
    </w:p>
    <w:p>
      <w:pPr>
        <w:numPr>
          <w:ilvl w:val="0"/>
          <w:numId w:val="1005"/>
        </w:numPr>
        <w:pStyle w:val="Compact"/>
      </w:pPr>
      <w:r>
        <w:rPr>
          <w:bCs/>
          <w:b/>
        </w:rPr>
        <w:t xml:space="preserve">Week 2:</w:t>
      </w:r>
      <w:r>
        <w:t xml:space="preserve"> </w:t>
      </w:r>
      <w:r>
        <w:t xml:space="preserve">Execution of the first two scenarios. Participants will analyze provided data and submit reports.</w:t>
      </w:r>
    </w:p>
    <w:p>
      <w:pPr>
        <w:numPr>
          <w:ilvl w:val="0"/>
          <w:numId w:val="1005"/>
        </w:numPr>
        <w:pStyle w:val="Compact"/>
      </w:pPr>
      <w:r>
        <w:rPr>
          <w:bCs/>
          <w:b/>
        </w:rPr>
        <w:t xml:space="preserve">Week 3:</w:t>
      </w:r>
      <w:r>
        <w:t xml:space="preserve"> </w:t>
      </w:r>
      <w:r>
        <w:t xml:space="preserve">Execution of the remaining three scenarios. Continuous monitoring of participant performance.</w:t>
      </w:r>
    </w:p>
    <w:p>
      <w:pPr>
        <w:numPr>
          <w:ilvl w:val="0"/>
          <w:numId w:val="1005"/>
        </w:numPr>
        <w:pStyle w:val="Compact"/>
      </w:pPr>
      <w:r>
        <w:rPr>
          <w:bCs/>
          <w:b/>
        </w:rPr>
        <w:t xml:space="preserve">Week 4:</w:t>
      </w:r>
      <w:r>
        <w:t xml:space="preserve"> </w:t>
      </w:r>
      <w:r>
        <w:t xml:space="preserve">Data analysis, participant interviews, and compilation of results.</w:t>
      </w:r>
    </w:p>
    <w:bookmarkEnd w:id="27"/>
    <w:bookmarkStart w:id="28" w:name="ethical-considerations"/>
    <w:p>
      <w:pPr>
        <w:pStyle w:val="Heading2"/>
      </w:pPr>
      <w:r>
        <w:t xml:space="preserve">6. Ethical Considerations</w:t>
      </w:r>
    </w:p>
    <w:p>
      <w:pPr>
        <w:pStyle w:val="FirstParagraph"/>
      </w:pPr>
      <w:r>
        <w:t xml:space="preserve">This experiment adheres to ethical guidelines for research involving human subjects. All participants will provide informed consent before participation. Confidentiality of personal and professional information will be maintained. Participants will be informed of their right to withdraw from the experiment at any time without penalty.</w:t>
      </w:r>
    </w:p>
    <w:bookmarkEnd w:id="28"/>
    <w:bookmarkStart w:id="29" w:name="expected-outcomes"/>
    <w:p>
      <w:pPr>
        <w:pStyle w:val="Heading2"/>
      </w:pPr>
      <w:r>
        <w:t xml:space="preserve">7. Expected Outcomes</w:t>
      </w:r>
    </w:p>
    <w:p>
      <w:pPr>
        <w:pStyle w:val="FirstParagraph"/>
      </w:pPr>
      <w:r>
        <w:t xml:space="preserve">The experiment aims to provide insights into the competencies and challenges faced by Financial Analysts in Bangladesh Dhaka. Expected outcomes include:</w:t>
      </w:r>
    </w:p>
    <w:p>
      <w:pPr>
        <w:numPr>
          <w:ilvl w:val="0"/>
          <w:numId w:val="1006"/>
        </w:numPr>
        <w:pStyle w:val="Compact"/>
      </w:pPr>
      <w:r>
        <w:t xml:space="preserve">Identification of key skills required for success in the Dhaka financial market.</w:t>
      </w:r>
    </w:p>
    <w:p>
      <w:pPr>
        <w:numPr>
          <w:ilvl w:val="0"/>
          <w:numId w:val="1006"/>
        </w:numPr>
        <w:pStyle w:val="Compact"/>
      </w:pPr>
      <w:r>
        <w:t xml:space="preserve">Recommendations for training and development programs tailored to the needs of Financial Analysts in Bangladesh.</w:t>
      </w:r>
    </w:p>
    <w:p>
      <w:pPr>
        <w:numPr>
          <w:ilvl w:val="0"/>
          <w:numId w:val="1006"/>
        </w:numPr>
        <w:pStyle w:val="Compact"/>
      </w:pPr>
      <w:r>
        <w:t xml:space="preserve">Enhanced understanding of how local economic conditions influence financial analysis practices.</w:t>
      </w:r>
    </w:p>
    <w:bookmarkEnd w:id="29"/>
    <w:bookmarkStart w:id="30" w:name="conclusion"/>
    <w:p>
      <w:pPr>
        <w:pStyle w:val="Heading2"/>
      </w:pPr>
      <w:r>
        <w:t xml:space="preserve">8. Conclusion</w:t>
      </w:r>
    </w:p>
    <w:p>
      <w:pPr>
        <w:pStyle w:val="FirstParagraph"/>
      </w:pPr>
      <w:r>
        <w:t xml:space="preserve">This Experiment Protocol provides a structured approach to evaluating the performance of Financial Analysts in Bangladesh Dhaka. By focusing on the unique aspects of the Dhaka financial environment, this study aims to contribute valuable knowledge to both academia and industry. The findings will help organizations in Dhaka make informed decisions regarding hiring, training, and development of Financial Analysts.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in Bangladesh Dhaka</dc:title>
  <dc:creator/>
  <dc:language>en</dc:language>
  <cp:keywords/>
  <dcterms:created xsi:type="dcterms:W3CDTF">2026-10-10T06:27:49Z</dcterms:created>
  <dcterms:modified xsi:type="dcterms:W3CDTF">2026-10-10T06:27:49Z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