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cf7b64ad0ccece53e3937f77352a1cf9b406c2"/>
    <w:p>
      <w:pPr>
        <w:pStyle w:val="Heading1"/>
      </w:pPr>
      <w:r>
        <w:t xml:space="preserve">Experiment Protocol: Financial Analyst Role in DR Congo Kinshasa</w:t>
      </w:r>
    </w:p>
    <w:p>
      <w:pPr>
        <w:pStyle w:val="FirstParagraph"/>
      </w:pPr>
      <w:r>
        <w:rPr>
          <w:bCs/>
          <w:b/>
        </w:rPr>
        <w:t xml:space="preserve">Document ID:</w:t>
      </w:r>
      <w:r>
        <w:t xml:space="preserve"> </w:t>
      </w:r>
      <w:r>
        <w:t xml:space="preserve">EP-FA-KIN-2024-001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Prepared by:</w:t>
      </w:r>
      <w:r>
        <w:t xml:space="preserve"> </w:t>
      </w:r>
      <w:r>
        <w:t xml:space="preserve">Technical Research Division</w:t>
      </w:r>
    </w:p>
    <w:p>
      <w:pPr>
        <w:pStyle w:val="BodyText"/>
      </w:pPr>
      <w:r>
        <w:rPr>
          <w:bCs/>
          <w:b/>
        </w:rPr>
        <w:t xml:space="preserve">Status:</w:t>
      </w:r>
      <w:r>
        <w:t xml:space="preserve"> </w:t>
      </w:r>
      <w:r>
        <w:t xml:space="preserve">Approved for Implementation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methodology for evaluating the performance, adaptability, and effectiveness of a Financial Analyst operating within the unique economic and regulatory environment of Kinshasa, DR Congo. The Democratic Republic of the Congo presents a complex financial landscape characterized by rapid urbanization, fluctuating currency values, evolving regulatory frameworks, and a growing digital economy. Kinshasa, as the economic and political capital, serves as the primary hub for financial activities, making it an ideal location for this experiment.</w:t>
      </w:r>
    </w:p>
    <w:p>
      <w:pPr>
        <w:pStyle w:val="BodyText"/>
      </w:pPr>
      <w:r>
        <w:t xml:space="preserve">The role of the Financial Analyst in this context is critical. They are expected to navigate challenges such as currency volatility (CDF vs. USD/EUR), informal market dynamics, tax compliance complexities, and limited access to standardized financial data. This protocol aims to assess how a Financial Analyst can effectively contribute to organizational decision-making, risk management, and strategic planning under these conditions.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a Financial Analyst to perform accurate financial forecasting in a volatile economic environment.</w:t>
      </w:r>
    </w:p>
    <w:p>
      <w:pPr>
        <w:numPr>
          <w:ilvl w:val="0"/>
          <w:numId w:val="1001"/>
        </w:numPr>
        <w:pStyle w:val="Compact"/>
      </w:pPr>
      <w:r>
        <w:t xml:space="preserve">To assess the analyst’s proficiency in navigating local regulatory requirements, including tax laws, banking regulations, and reporting standards in DR Congo.</w:t>
      </w:r>
    </w:p>
    <w:p>
      <w:pPr>
        <w:numPr>
          <w:ilvl w:val="0"/>
          <w:numId w:val="1001"/>
        </w:numPr>
        <w:pStyle w:val="Compact"/>
      </w:pPr>
      <w:r>
        <w:t xml:space="preserve">To measure the effectiveness of risk assessment strategies tailored to Kinshasa’s market conditions.</w:t>
      </w:r>
    </w:p>
    <w:p>
      <w:pPr>
        <w:numPr>
          <w:ilvl w:val="0"/>
          <w:numId w:val="1001"/>
        </w:numPr>
        <w:pStyle w:val="Compact"/>
      </w:pPr>
      <w:r>
        <w:t xml:space="preserve">To determine the impact of cultural and linguistic factors on financial communication and stakeholder engagement.</w:t>
      </w:r>
    </w:p>
    <w:p>
      <w:pPr>
        <w:numPr>
          <w:ilvl w:val="0"/>
          <w:numId w:val="1001"/>
        </w:numPr>
        <w:pStyle w:val="Compact"/>
      </w:pPr>
      <w:r>
        <w:t xml:space="preserve">To identify best practices for integrating local market insights with global financial analysis methodologies.</w:t>
      </w:r>
    </w:p>
    <w:bookmarkEnd w:id="22"/>
    <w:bookmarkStart w:id="23" w:name="scope"/>
    <w:p>
      <w:pPr>
        <w:pStyle w:val="Heading2"/>
      </w:pPr>
      <w:r>
        <w:t xml:space="preserve">3. Scope</w:t>
      </w:r>
    </w:p>
    <w:p>
      <w:pPr>
        <w:pStyle w:val="FirstParagraph"/>
      </w:pPr>
      <w:r>
        <w:t xml:space="preserve">This experiment will focus on a Financial Analyst employed by a mid-sized enterprise operating in Kinshasa. The scope includes:</w:t>
      </w:r>
    </w:p>
    <w:p>
      <w:pPr>
        <w:numPr>
          <w:ilvl w:val="0"/>
          <w:numId w:val="1002"/>
        </w:numPr>
        <w:pStyle w:val="Compact"/>
      </w:pPr>
      <w:r>
        <w:t xml:space="preserve">Financial modeling and forecasting for a 12-month period.</w:t>
      </w:r>
    </w:p>
    <w:p>
      <w:pPr>
        <w:numPr>
          <w:ilvl w:val="0"/>
          <w:numId w:val="1002"/>
        </w:numPr>
        <w:pStyle w:val="Compact"/>
      </w:pPr>
      <w:r>
        <w:t xml:space="preserve">Analysis of currency exchange risks and hedging strategies.</w:t>
      </w:r>
    </w:p>
    <w:p>
      <w:pPr>
        <w:numPr>
          <w:ilvl w:val="0"/>
          <w:numId w:val="1002"/>
        </w:numPr>
        <w:pStyle w:val="Compact"/>
      </w:pPr>
      <w:r>
        <w:t xml:space="preserve">Compliance with local tax regulations and international reporting standards.</w:t>
      </w:r>
    </w:p>
    <w:p>
      <w:pPr>
        <w:numPr>
          <w:ilvl w:val="0"/>
          <w:numId w:val="1002"/>
        </w:numPr>
        <w:pStyle w:val="Compact"/>
      </w:pPr>
      <w:r>
        <w:t xml:space="preserve">Stakeholder communication with local and international partners.</w:t>
      </w:r>
    </w:p>
    <w:p>
      <w:pPr>
        <w:numPr>
          <w:ilvl w:val="0"/>
          <w:numId w:val="1002"/>
        </w:numPr>
        <w:pStyle w:val="Compact"/>
      </w:pPr>
      <w:r>
        <w:t xml:space="preserve">Use of both digital tools and manual processes due to infrastructure limitations.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Financial Analyst selected for this experiment must have:</w:t>
      </w:r>
    </w:p>
    <w:p>
      <w:pPr>
        <w:numPr>
          <w:ilvl w:val="0"/>
          <w:numId w:val="1003"/>
        </w:numPr>
        <w:pStyle w:val="Compact"/>
      </w:pPr>
      <w:r>
        <w:t xml:space="preserve">A minimum of three years of experience in financial analysis.</w:t>
      </w:r>
    </w:p>
    <w:p>
      <w:pPr>
        <w:numPr>
          <w:ilvl w:val="0"/>
          <w:numId w:val="1003"/>
        </w:numPr>
        <w:pStyle w:val="Compact"/>
      </w:pPr>
      <w:r>
        <w:t xml:space="preserve">Proficiency in French and English, with basic knowledge of local languages (e.g., Lingala) being advantageous.</w:t>
      </w:r>
    </w:p>
    <w:p>
      <w:pPr>
        <w:numPr>
          <w:ilvl w:val="0"/>
          <w:numId w:val="1003"/>
        </w:numPr>
        <w:pStyle w:val="Compact"/>
      </w:pPr>
      <w:r>
        <w:t xml:space="preserve">Experience working in emerging markets, preferably in Central Africa.</w:t>
      </w:r>
    </w:p>
    <w:p>
      <w:pPr>
        <w:numPr>
          <w:ilvl w:val="0"/>
          <w:numId w:val="1003"/>
        </w:numPr>
        <w:pStyle w:val="Compact"/>
      </w:pPr>
      <w:r>
        <w:t xml:space="preserve">Strong analytical skills and familiarity with financial software (e.g., Excel, SAP, QuickBooks).</w:t>
      </w:r>
    </w:p>
    <w:bookmarkEnd w:id="24"/>
    <w:bookmarkStart w:id="25" w:name="experimental-design"/>
    <w:p>
      <w:pPr>
        <w:pStyle w:val="Heading3"/>
      </w:pPr>
      <w:r>
        <w:t xml:space="preserve">4.2 Experimental Design</w:t>
      </w:r>
    </w:p>
    <w:p>
      <w:pPr>
        <w:pStyle w:val="FirstParagraph"/>
      </w:pPr>
      <w:r>
        <w:t xml:space="preserve">The experiment will be conducted over a period of six months, divided into three phases:</w:t>
      </w:r>
    </w:p>
    <w:p>
      <w:pPr>
        <w:numPr>
          <w:ilvl w:val="0"/>
          <w:numId w:val="1004"/>
        </w:numPr>
        <w:pStyle w:val="Compact"/>
      </w:pPr>
      <w:r>
        <w:rPr>
          <w:bCs/>
          <w:b/>
        </w:rPr>
        <w:t xml:space="preserve">Phase 1: Baseline Assessment (Weeks 1-4)</w:t>
      </w:r>
      <w:r>
        <w:t xml:space="preserve"> </w:t>
      </w:r>
      <w:r>
        <w:t xml:space="preserve">– Evaluate the analyst’s initial skills, familiarity with local regulations, and understanding of Kinshasa’s market dynamics.</w:t>
      </w:r>
    </w:p>
    <w:p>
      <w:pPr>
        <w:numPr>
          <w:ilvl w:val="0"/>
          <w:numId w:val="1004"/>
        </w:numPr>
        <w:pStyle w:val="Compact"/>
      </w:pPr>
      <w:r>
        <w:rPr>
          <w:bCs/>
          <w:b/>
        </w:rPr>
        <w:t xml:space="preserve">Phase 2: Active Experimentation (Weeks 5-16)</w:t>
      </w:r>
      <w:r>
        <w:t xml:space="preserve"> </w:t>
      </w:r>
      <w:r>
        <w:t xml:space="preserve">– The analyst will perform real-world tasks, including financial forecasting, risk assessment, and compliance reporting, under supervised conditions.</w:t>
      </w:r>
    </w:p>
    <w:p>
      <w:pPr>
        <w:numPr>
          <w:ilvl w:val="0"/>
          <w:numId w:val="1004"/>
        </w:numPr>
        <w:pStyle w:val="Compact"/>
      </w:pPr>
      <w:r>
        <w:rPr>
          <w:bCs/>
          <w:b/>
        </w:rPr>
        <w:t xml:space="preserve">Phase 3: Evaluation and Feedback (Weeks 17-24)</w:t>
      </w:r>
      <w:r>
        <w:t xml:space="preserve"> </w:t>
      </w:r>
      <w:r>
        <w:t xml:space="preserve">– Collect data on performance, stakeholder feedback, and outcomes to assess the effectiveness of the analyst’s strategies.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Weekly performance reports submitted by the Financial Analyst.</w:t>
      </w:r>
    </w:p>
    <w:p>
      <w:pPr>
        <w:numPr>
          <w:ilvl w:val="0"/>
          <w:numId w:val="1005"/>
        </w:numPr>
        <w:pStyle w:val="Compact"/>
      </w:pPr>
      <w:r>
        <w:t xml:space="preserve">Monthly reviews by senior management and external auditors.</w:t>
      </w:r>
    </w:p>
    <w:p>
      <w:pPr>
        <w:numPr>
          <w:ilvl w:val="0"/>
          <w:numId w:val="1005"/>
        </w:numPr>
        <w:pStyle w:val="Compact"/>
      </w:pPr>
      <w:r>
        <w:t xml:space="preserve">Surveys and interviews with stakeholders, including local partners, clients, and regulatory bodies.</w:t>
      </w:r>
    </w:p>
    <w:p>
      <w:pPr>
        <w:numPr>
          <w:ilvl w:val="0"/>
          <w:numId w:val="1005"/>
        </w:numPr>
        <w:pStyle w:val="Compact"/>
      </w:pPr>
      <w:r>
        <w:t xml:space="preserve">Analysis of financial models, forecasts, and risk assessments produced during the experiment.</w:t>
      </w:r>
    </w:p>
    <w:bookmarkEnd w:id="26"/>
    <w:bookmarkEnd w:id="27"/>
    <w:bookmarkStart w:id="28" w:name="key-performance-indicators-kpis"/>
    <w:p>
      <w:pPr>
        <w:pStyle w:val="Heading2"/>
      </w:pPr>
      <w:r>
        <w:t xml:space="preserve">5. Key Performance Indicators (KPIs)</w:t>
      </w:r>
    </w:p>
    <w:p>
      <w:pPr>
        <w:pStyle w:val="FirstParagraph"/>
      </w:pPr>
      <w:r>
        <w:t xml:space="preserve">The success of the experiment will be measured using the following KPIs:</w:t>
      </w:r>
    </w:p>
    <w:p>
      <w:pPr>
        <w:numPr>
          <w:ilvl w:val="0"/>
          <w:numId w:val="1006"/>
        </w:numPr>
        <w:pStyle w:val="Compact"/>
      </w:pPr>
      <w:r>
        <w:rPr>
          <w:bCs/>
          <w:b/>
        </w:rPr>
        <w:t xml:space="preserve">Accuracy of Financial Forecasts:</w:t>
      </w:r>
      <w:r>
        <w:t xml:space="preserve"> </w:t>
      </w:r>
      <w:r>
        <w:t xml:space="preserve">Measured by comparing predicted vs. actual financial outcomes.</w:t>
      </w:r>
    </w:p>
    <w:p>
      <w:pPr>
        <w:numPr>
          <w:ilvl w:val="0"/>
          <w:numId w:val="1006"/>
        </w:numPr>
        <w:pStyle w:val="Compact"/>
      </w:pPr>
      <w:r>
        <w:rPr>
          <w:bCs/>
          <w:b/>
        </w:rPr>
        <w:t xml:space="preserve">Compliance Rate:</w:t>
      </w:r>
      <w:r>
        <w:t xml:space="preserve"> </w:t>
      </w:r>
      <w:r>
        <w:t xml:space="preserve">Percentage of reports and filings that meet local and international regulatory standards.</w:t>
      </w:r>
    </w:p>
    <w:p>
      <w:pPr>
        <w:numPr>
          <w:ilvl w:val="0"/>
          <w:numId w:val="1006"/>
        </w:numPr>
        <w:pStyle w:val="Compact"/>
      </w:pPr>
      <w:r>
        <w:rPr>
          <w:bCs/>
          <w:b/>
        </w:rPr>
        <w:t xml:space="preserve">Risk Mitigation Effectiveness:</w:t>
      </w:r>
      <w:r>
        <w:t xml:space="preserve"> </w:t>
      </w:r>
      <w:r>
        <w:t xml:space="preserve">Reduction in financial losses due to currency fluctuations or market volatility.</w:t>
      </w:r>
    </w:p>
    <w:p>
      <w:pPr>
        <w:numPr>
          <w:ilvl w:val="0"/>
          <w:numId w:val="1006"/>
        </w:numPr>
        <w:pStyle w:val="Compact"/>
      </w:pPr>
      <w:r>
        <w:rPr>
          <w:bCs/>
          <w:b/>
        </w:rPr>
        <w:t xml:space="preserve">Stakeholder Satisfaction:</w:t>
      </w:r>
      <w:r>
        <w:t xml:space="preserve"> </w:t>
      </w:r>
      <w:r>
        <w:t xml:space="preserve">Feedback scores from internal and external stakeholders.</w:t>
      </w:r>
    </w:p>
    <w:p>
      <w:pPr>
        <w:numPr>
          <w:ilvl w:val="0"/>
          <w:numId w:val="1006"/>
        </w:numPr>
        <w:pStyle w:val="Compact"/>
      </w:pPr>
      <w:r>
        <w:rPr>
          <w:bCs/>
          <w:b/>
        </w:rPr>
        <w:t xml:space="preserve">Adaptability:</w:t>
      </w:r>
      <w:r>
        <w:t xml:space="preserve"> </w:t>
      </w:r>
      <w:r>
        <w:t xml:space="preserve">Ability to adjust strategies in response to changing market conditions or regulatory updates.</w:t>
      </w:r>
    </w:p>
    <w:bookmarkEnd w:id="28"/>
    <w:bookmarkStart w:id="29" w:name="ethical-considerations"/>
    <w:p>
      <w:pPr>
        <w:pStyle w:val="Heading2"/>
      </w:pPr>
      <w:r>
        <w:t xml:space="preserve">6. Ethical Considerations</w:t>
      </w:r>
    </w:p>
    <w:p>
      <w:pPr>
        <w:pStyle w:val="FirstParagraph"/>
      </w:pPr>
      <w:r>
        <w:t xml:space="preserve">This experiment will adhere to the highest ethical standards, including:</w:t>
      </w:r>
    </w:p>
    <w:p>
      <w:pPr>
        <w:numPr>
          <w:ilvl w:val="0"/>
          <w:numId w:val="1007"/>
        </w:numPr>
        <w:pStyle w:val="Compact"/>
      </w:pPr>
      <w:r>
        <w:t xml:space="preserve">Confidentiality of all financial data and stakeholder information.</w:t>
      </w:r>
    </w:p>
    <w:p>
      <w:pPr>
        <w:numPr>
          <w:ilvl w:val="0"/>
          <w:numId w:val="1007"/>
        </w:numPr>
        <w:pStyle w:val="Compact"/>
      </w:pPr>
      <w:r>
        <w:t xml:space="preserve">Transparency in reporting and analysis.</w:t>
      </w:r>
    </w:p>
    <w:p>
      <w:pPr>
        <w:numPr>
          <w:ilvl w:val="0"/>
          <w:numId w:val="1007"/>
        </w:numPr>
        <w:pStyle w:val="Compact"/>
      </w:pPr>
      <w:r>
        <w:t xml:space="preserve">Respect for local cultural norms and business practices.</w:t>
      </w:r>
    </w:p>
    <w:p>
      <w:pPr>
        <w:numPr>
          <w:ilvl w:val="0"/>
          <w:numId w:val="1007"/>
        </w:numPr>
        <w:pStyle w:val="Compact"/>
      </w:pPr>
      <w:r>
        <w:t xml:space="preserve">Compliance with DR Congo’s labor laws and international ethical guidelines.</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8"/>
        </w:numPr>
        <w:pStyle w:val="Compact"/>
      </w:pPr>
      <w:r>
        <w:t xml:space="preserve">A comprehensive report on the effectiveness of Financial Analyst roles in Kinshasa’s economic environment.</w:t>
      </w:r>
    </w:p>
    <w:p>
      <w:pPr>
        <w:numPr>
          <w:ilvl w:val="0"/>
          <w:numId w:val="1008"/>
        </w:numPr>
        <w:pStyle w:val="Compact"/>
      </w:pPr>
      <w:r>
        <w:t xml:space="preserve">Recommendations for improving financial analysis practices in DR Congo.</w:t>
      </w:r>
    </w:p>
    <w:p>
      <w:pPr>
        <w:numPr>
          <w:ilvl w:val="0"/>
          <w:numId w:val="1008"/>
        </w:numPr>
        <w:pStyle w:val="Compact"/>
      </w:pPr>
      <w:r>
        <w:t xml:space="preserve">Training materials and guidelines for future Financial Analysts operating in similar contexts.</w:t>
      </w:r>
    </w:p>
    <w:p>
      <w:pPr>
        <w:numPr>
          <w:ilvl w:val="0"/>
          <w:numId w:val="1008"/>
        </w:numPr>
        <w:pStyle w:val="Compact"/>
      </w:pPr>
      <w:r>
        <w:t xml:space="preserve">Insights into the challenges and opportunities of financial analysis in emerging African markets.</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a Financial Analyst in Kinshasa, DR Congo. By focusing on real-world challenges and measurable outcomes, the experiment will contribute valuable insights to both local and global financial practices. The findings will support the development of more effective financial strategies in one of Africa’s most dynamic and complex economic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Role in DR Congo Kinshasa</dc:title>
  <dc:creator/>
  <dc:language>en</dc:language>
  <cp:keywords/>
  <dcterms:created xsi:type="dcterms:W3CDTF">2026-10-10T05:04:11Z</dcterms:created>
  <dcterms:modified xsi:type="dcterms:W3CDTF">2026-10-10T05:04:11Z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