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20" w:name="X1f88f5a3ab7712e1ee127a816c5ef91f36d911b"/>
    <w:p>
      <w:pPr>
        <w:pStyle w:val="Heading1"/>
      </w:pPr>
      <w:r>
        <w:t xml:space="preserve">Experiment Protocol: Graphic Designer in Belgium Brussels</w:t>
      </w:r>
    </w:p>
    <w:p>
      <w:pPr>
        <w:pStyle w:val="FirstParagraph"/>
      </w:pPr>
      <w:r>
        <w:rPr>
          <w:bCs/>
          <w:b/>
        </w:rPr>
        <w:t xml:space="preserve">Protocol ID:</w:t>
      </w:r>
      <w:r>
        <w:t xml:space="preserve"> </w:t>
      </w:r>
      <w:r>
        <w:t xml:space="preserve">GD-BRU-2024-001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Brussels, Belgium</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the performance, adaptability, and creative output of a Graphic Designer operating within the unique cultural and professional environment of Brussels, Belgium. The experiment aims to assess how local influences, multilingual requirements, and regional design trends impact the work of a Graphic Designer in this dynamic European capital.</w:t>
      </w:r>
    </w:p>
    <w:p>
      <w:pPr>
        <w:pStyle w:val="BodyText"/>
      </w:pPr>
      <w:r>
        <w:t xml:space="preserve">Brussels, as a multicultural hub and the de facto capital of the European Union, presents a distinctive landscape for design professionals. This protocol ensures that all aspects of the experiment are conducted systematically, ethically, and in alignment with local regulations and professional standards.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ability of a Graphic Designer to create visually compelling and culturally relevant designs for a Brussels-based audience.</w:t>
      </w:r>
    </w:p>
    <w:p>
      <w:pPr>
        <w:numPr>
          <w:ilvl w:val="0"/>
          <w:numId w:val="1001"/>
        </w:numPr>
        <w:pStyle w:val="Compact"/>
      </w:pPr>
      <w:r>
        <w:t xml:space="preserve">To assess the impact of multilingual requirements (Dutch, French, English, and German) on design workflows and outcomes.</w:t>
      </w:r>
    </w:p>
    <w:p>
      <w:pPr>
        <w:numPr>
          <w:ilvl w:val="0"/>
          <w:numId w:val="1001"/>
        </w:numPr>
        <w:pStyle w:val="Compact"/>
      </w:pPr>
      <w:r>
        <w:t xml:space="preserve">To analyze how local design trends, EU institutional aesthetics, and Brussels’ urban culture influence creative decisions.</w:t>
      </w:r>
    </w:p>
    <w:p>
      <w:pPr>
        <w:numPr>
          <w:ilvl w:val="0"/>
          <w:numId w:val="1001"/>
        </w:numPr>
        <w:pStyle w:val="Compact"/>
      </w:pPr>
      <w:r>
        <w:t xml:space="preserve">To measure the efficiency and adaptability of the Graphic Designer when working under time constraints typical of the Brussels market.</w:t>
      </w:r>
    </w:p>
    <w:bookmarkEnd w:id="22"/>
    <w:bookmarkStart w:id="23" w:name="scope"/>
    <w:p>
      <w:pPr>
        <w:pStyle w:val="Heading2"/>
      </w:pPr>
      <w:r>
        <w:t xml:space="preserve">3. Scope</w:t>
      </w:r>
    </w:p>
    <w:p>
      <w:pPr>
        <w:pStyle w:val="FirstParagraph"/>
      </w:pPr>
      <w:r>
        <w:t xml:space="preserve">This experiment focuses exclusively on Graphic Designers based in or working remotely for clients in Brussels, Belgium. The scope includes:</w:t>
      </w:r>
    </w:p>
    <w:p>
      <w:pPr>
        <w:numPr>
          <w:ilvl w:val="0"/>
          <w:numId w:val="1002"/>
        </w:numPr>
        <w:pStyle w:val="Compact"/>
      </w:pPr>
      <w:r>
        <w:t xml:space="preserve">Print and digital design projects (e.g., posters, social media graphics, branding materials).</w:t>
      </w:r>
    </w:p>
    <w:p>
      <w:pPr>
        <w:numPr>
          <w:ilvl w:val="0"/>
          <w:numId w:val="1002"/>
        </w:numPr>
        <w:pStyle w:val="Compact"/>
      </w:pPr>
      <w:r>
        <w:t xml:space="preserve">Collaboration with local stakeholders, including EU institutions, NGOs, and private enterprises.</w:t>
      </w:r>
    </w:p>
    <w:p>
      <w:pPr>
        <w:numPr>
          <w:ilvl w:val="0"/>
          <w:numId w:val="1002"/>
        </w:numPr>
        <w:pStyle w:val="Compact"/>
      </w:pPr>
      <w:r>
        <w:t xml:space="preserve">Adherence to Belgian copyright laws, GDPR regulations, and accessibility standards.</w:t>
      </w:r>
    </w:p>
    <w:p>
      <w:pPr>
        <w:pStyle w:val="FirstParagraph"/>
      </w:pPr>
      <w:r>
        <w:t xml:space="preserve">Projects outside the Brussels region or unrelated to graphic design are excluded from this protocol.</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Graphic Designers with at least two years of professional experience, preferably with prior exposure to the Brussels market. Selection criteria include:</w:t>
      </w:r>
    </w:p>
    <w:p>
      <w:pPr>
        <w:numPr>
          <w:ilvl w:val="0"/>
          <w:numId w:val="1003"/>
        </w:numPr>
        <w:pStyle w:val="Compact"/>
      </w:pPr>
      <w:r>
        <w:t xml:space="preserve">Proficiency in design software (e.g., Adobe Creative Suite, Figma).</w:t>
      </w:r>
    </w:p>
    <w:p>
      <w:pPr>
        <w:numPr>
          <w:ilvl w:val="0"/>
          <w:numId w:val="1003"/>
        </w:numPr>
        <w:pStyle w:val="Compact"/>
      </w:pPr>
      <w:r>
        <w:t xml:space="preserve">Ability to work in at least two of the following languages: Dutch, French, English.</w:t>
      </w:r>
    </w:p>
    <w:p>
      <w:pPr>
        <w:numPr>
          <w:ilvl w:val="0"/>
          <w:numId w:val="1003"/>
        </w:numPr>
        <w:pStyle w:val="Compact"/>
      </w:pPr>
      <w:r>
        <w:t xml:space="preserve">Familiarity with Belgian cultural and regulatory contexts.</w:t>
      </w:r>
    </w:p>
    <w:bookmarkEnd w:id="24"/>
    <w:bookmarkStart w:id="25" w:name="experimental-design"/>
    <w:p>
      <w:pPr>
        <w:pStyle w:val="Heading3"/>
      </w:pPr>
      <w:r>
        <w:t xml:space="preserve">4.2 Experimental Design</w:t>
      </w:r>
    </w:p>
    <w:p>
      <w:pPr>
        <w:pStyle w:val="FirstParagraph"/>
      </w:pPr>
      <w:r>
        <w:t xml:space="preserve">The experiment will consist of three phases:</w:t>
      </w:r>
    </w:p>
    <w:p>
      <w:pPr>
        <w:numPr>
          <w:ilvl w:val="0"/>
          <w:numId w:val="1004"/>
        </w:numPr>
        <w:pStyle w:val="Compact"/>
      </w:pPr>
      <w:r>
        <w:rPr>
          <w:bCs/>
          <w:b/>
        </w:rPr>
        <w:t xml:space="preserve">Phase 1: Baseline Assessment</w:t>
      </w:r>
      <w:r>
        <w:t xml:space="preserve"> </w:t>
      </w:r>
      <w:r>
        <w:t xml:space="preserve">– Participants will complete a standardized design task to establish their baseline skills.</w:t>
      </w:r>
    </w:p>
    <w:p>
      <w:pPr>
        <w:numPr>
          <w:ilvl w:val="0"/>
          <w:numId w:val="1004"/>
        </w:numPr>
        <w:pStyle w:val="Compact"/>
      </w:pPr>
      <w:r>
        <w:rPr>
          <w:bCs/>
          <w:b/>
        </w:rPr>
        <w:t xml:space="preserve">Phase 2: Contextual Challenge</w:t>
      </w:r>
      <w:r>
        <w:t xml:space="preserve"> </w:t>
      </w:r>
      <w:r>
        <w:t xml:space="preserve">– Participants will design materials for a fictional Brussels-based event, incorporating multilingual text and local cultural references.</w:t>
      </w:r>
    </w:p>
    <w:p>
      <w:pPr>
        <w:numPr>
          <w:ilvl w:val="0"/>
          <w:numId w:val="1004"/>
        </w:numPr>
        <w:pStyle w:val="Compact"/>
      </w:pPr>
      <w:r>
        <w:rPr>
          <w:bCs/>
          <w:b/>
        </w:rPr>
        <w:t xml:space="preserve">Phase 3: Feedback and Iteration</w:t>
      </w:r>
      <w:r>
        <w:t xml:space="preserve"> </w:t>
      </w:r>
      <w:r>
        <w:t xml:space="preserve">– Participants will revise their designs based on feedback from a panel of Brussels-based stakeholders.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Quantitative metrics: Time taken to complete tasks, number of revisions, and stakeholder satisfaction scores.</w:t>
      </w:r>
    </w:p>
    <w:p>
      <w:pPr>
        <w:numPr>
          <w:ilvl w:val="0"/>
          <w:numId w:val="1005"/>
        </w:numPr>
        <w:pStyle w:val="Compact"/>
      </w:pPr>
      <w:r>
        <w:t xml:space="preserve">Qualitative metrics: Expert evaluations of creativity, cultural relevance, and technical execution.</w:t>
      </w:r>
    </w:p>
    <w:bookmarkEnd w:id="26"/>
    <w:bookmarkEnd w:id="27"/>
    <w:bookmarkStart w:id="28" w:name="ethical-considerations"/>
    <w:p>
      <w:pPr>
        <w:pStyle w:val="Heading2"/>
      </w:pPr>
      <w:r>
        <w:t xml:space="preserve">5. Ethical Considerations</w:t>
      </w:r>
    </w:p>
    <w:p>
      <w:pPr>
        <w:pStyle w:val="FirstParagraph"/>
      </w:pPr>
      <w:r>
        <w:t xml:space="preserve">This experiment adheres to the ethical guidelines set by the Belgian Federation of Psychology and the EU General Data Protection Regulation (GDPR). Key considerations include:</w:t>
      </w:r>
    </w:p>
    <w:p>
      <w:pPr>
        <w:numPr>
          <w:ilvl w:val="0"/>
          <w:numId w:val="1006"/>
        </w:numPr>
        <w:pStyle w:val="Compact"/>
      </w:pPr>
      <w:r>
        <w:t xml:space="preserve">Informed consent from all participants.</w:t>
      </w:r>
    </w:p>
    <w:p>
      <w:pPr>
        <w:numPr>
          <w:ilvl w:val="0"/>
          <w:numId w:val="1006"/>
        </w:numPr>
        <w:pStyle w:val="Compact"/>
      </w:pPr>
      <w:r>
        <w:t xml:space="preserve">Confidentiality of personal and professional data.</w:t>
      </w:r>
    </w:p>
    <w:p>
      <w:pPr>
        <w:numPr>
          <w:ilvl w:val="0"/>
          <w:numId w:val="1006"/>
        </w:numPr>
        <w:pStyle w:val="Compact"/>
      </w:pPr>
      <w:r>
        <w:t xml:space="preserve">Voluntary participation with the right to withdraw at any time.</w:t>
      </w:r>
    </w:p>
    <w:bookmarkEnd w:id="28"/>
    <w:bookmarkStart w:id="29" w:name="timeline"/>
    <w:p>
      <w:pPr>
        <w:pStyle w:val="Heading2"/>
      </w:pPr>
      <w:r>
        <w:t xml:space="preserve">6. Timeline</w:t>
      </w:r>
    </w:p>
    <w:p>
      <w:pPr>
        <w:pStyle w:val="FirstParagraph"/>
      </w:pPr>
      <w:r>
        <w:t xml:space="preserve">The experiment will be conducted over a period of six weeks:</w:t>
      </w:r>
    </w:p>
    <w:p>
      <w:pPr>
        <w:numPr>
          <w:ilvl w:val="0"/>
          <w:numId w:val="1007"/>
        </w:numPr>
        <w:pStyle w:val="Compact"/>
      </w:pPr>
      <w:r>
        <w:t xml:space="preserve">Week 1: Participant recruitment and baseline assessment.</w:t>
      </w:r>
    </w:p>
    <w:p>
      <w:pPr>
        <w:numPr>
          <w:ilvl w:val="0"/>
          <w:numId w:val="1007"/>
        </w:numPr>
        <w:pStyle w:val="Compact"/>
      </w:pPr>
      <w:r>
        <w:t xml:space="preserve">Weeks 2–3: Contextual challenge and initial design submissions.</w:t>
      </w:r>
    </w:p>
    <w:p>
      <w:pPr>
        <w:numPr>
          <w:ilvl w:val="0"/>
          <w:numId w:val="1007"/>
        </w:numPr>
        <w:pStyle w:val="Compact"/>
      </w:pPr>
      <w:r>
        <w:t xml:space="preserve">Week 4: Stakeholder feedback sessions.</w:t>
      </w:r>
    </w:p>
    <w:p>
      <w:pPr>
        <w:numPr>
          <w:ilvl w:val="0"/>
          <w:numId w:val="1007"/>
        </w:numPr>
        <w:pStyle w:val="Compact"/>
      </w:pPr>
      <w:r>
        <w:t xml:space="preserve">Weeks 5–6: Design revisions and final evaluations.</w:t>
      </w:r>
    </w:p>
    <w:bookmarkEnd w:id="29"/>
    <w:bookmarkStart w:id="30" w:name="expected-outcomes"/>
    <w:p>
      <w:pPr>
        <w:pStyle w:val="Heading2"/>
      </w:pPr>
      <w:r>
        <w:t xml:space="preserve">7. Expected Outcomes</w:t>
      </w:r>
    </w:p>
    <w:p>
      <w:pPr>
        <w:pStyle w:val="FirstParagraph"/>
      </w:pPr>
      <w:r>
        <w:t xml:space="preserve">This experiment aims to provide actionable insights into:</w:t>
      </w:r>
    </w:p>
    <w:p>
      <w:pPr>
        <w:numPr>
          <w:ilvl w:val="0"/>
          <w:numId w:val="1008"/>
        </w:numPr>
        <w:pStyle w:val="Compact"/>
      </w:pPr>
      <w:r>
        <w:t xml:space="preserve">The specific skills and competencies required for Graphic Designers to succeed in Brussels.</w:t>
      </w:r>
    </w:p>
    <w:p>
      <w:pPr>
        <w:numPr>
          <w:ilvl w:val="0"/>
          <w:numId w:val="1008"/>
        </w:numPr>
        <w:pStyle w:val="Compact"/>
      </w:pPr>
      <w:r>
        <w:t xml:space="preserve">Best practices for integrating multilingual and multicultural elements into design projects.</w:t>
      </w:r>
    </w:p>
    <w:p>
      <w:pPr>
        <w:numPr>
          <w:ilvl w:val="0"/>
          <w:numId w:val="1008"/>
        </w:numPr>
        <w:pStyle w:val="Compact"/>
      </w:pPr>
      <w:r>
        <w:t xml:space="preserve">Recommendations for design education and professional development in Belgium.</w:t>
      </w:r>
    </w:p>
    <w:bookmarkEnd w:id="30"/>
    <w:bookmarkStart w:id="31" w:name="conclusion"/>
    <w:p>
      <w:pPr>
        <w:pStyle w:val="Heading2"/>
      </w:pPr>
      <w:r>
        <w:t xml:space="preserve">8. Conclusion</w:t>
      </w:r>
    </w:p>
    <w:p>
      <w:pPr>
        <w:pStyle w:val="FirstParagraph"/>
      </w:pPr>
      <w:r>
        <w:t xml:space="preserve">This Experiment Protocol provides a structured framework for evaluating the role and performance of a Graphic Designer in the unique context of Brussels, Belgium. By focusing on local cultural, linguistic, and professional factors, the experiment seeks to contribute valuable knowledge to the field of graphic design and support the growth of design professionals in this vibrant European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Belgium Brussels</dc:title>
  <dc:creator/>
  <dc:language>en</dc:language>
  <cp:keywords/>
  <dcterms:created xsi:type="dcterms:W3CDTF">2026-10-10T02:10:19Z</dcterms:created>
  <dcterms:modified xsi:type="dcterms:W3CDTF">2026-10-10T02:10:19Z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