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Performance</w:t>
      </w:r>
      <w:r>
        <w:t xml:space="preserve"> </w:t>
      </w:r>
      <w:r>
        <w:t xml:space="preserve">in</w:t>
      </w:r>
      <w:r>
        <w:t xml:space="preserve"> </w:t>
      </w:r>
      <w:r>
        <w:t xml:space="preserve">Canada</w:t>
      </w:r>
      <w:r>
        <w:t xml:space="preserve"> </w:t>
      </w:r>
      <w:r>
        <w:t xml:space="preserve">Toronto</w:t>
      </w:r>
    </w:p>
    <w:bookmarkStart w:id="20" w:name="X90e9cd5fccd65bd144234111cea9a5e96f8a9f1"/>
    <w:p>
      <w:pPr>
        <w:pStyle w:val="Heading1"/>
      </w:pPr>
      <w:r>
        <w:t xml:space="preserve">Experiment Protocol: Evaluating Graphic Designer Performance in Canada Toronto</w:t>
      </w:r>
    </w:p>
    <w:p>
      <w:pPr>
        <w:pStyle w:val="FirstParagraph"/>
      </w:pPr>
      <w:r>
        <w:rPr>
          <w:bCs/>
          <w:b/>
        </w:rPr>
        <w:t xml:space="preserve">Document ID:</w:t>
      </w:r>
      <w:r>
        <w:t xml:space="preserve"> </w:t>
      </w:r>
      <w:r>
        <w:t xml:space="preserve">EP-GD-TOR-2024-001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Canada Toronto</w:t>
      </w:r>
    </w:p>
    <w:p>
      <w:pPr>
        <w:pStyle w:val="BodyText"/>
      </w:pPr>
      <w:r>
        <w:rPr>
          <w:bCs/>
          <w:b/>
        </w:rPr>
        <w:t xml:space="preserve">Prepared By:</w:t>
      </w:r>
      <w:r>
        <w:t xml:space="preserve"> </w:t>
      </w:r>
      <w:r>
        <w:t xml:space="preserve">Research and Development Team</w:t>
      </w:r>
    </w:p>
    <w:bookmarkEnd w:id="20"/>
    <w:bookmarkStart w:id="21" w:name="introduction"/>
    <w:p>
      <w:pPr>
        <w:pStyle w:val="Heading2"/>
      </w:pPr>
      <w:r>
        <w:t xml:space="preserve">1. Introduction</w:t>
      </w:r>
    </w:p>
    <w:p>
      <w:pPr>
        <w:pStyle w:val="FirstParagraph"/>
      </w:pPr>
      <w:r>
        <w:t xml:space="preserve">This Experiment Protocol outlines the methodology for assessing the performance, creativity, and technical proficiency of Graphic Designers operating within the dynamic market of Canada Toronto. Toronto is recognized as a leading hub for creative industries in North America, characterized by a diverse cultural landscape and a competitive business environment. This protocol aims to establish standardized criteria for evaluating Graphic Designers to ensure alignment with industry standards and client expectations in this specific geographic and cultural context.</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technical skills of Graphic Designers in using industry-standard software (e.g., Adobe Creative Suite, Figma).</w:t>
      </w:r>
    </w:p>
    <w:p>
      <w:pPr>
        <w:numPr>
          <w:ilvl w:val="0"/>
          <w:numId w:val="1001"/>
        </w:numPr>
        <w:pStyle w:val="Compact"/>
      </w:pPr>
      <w:r>
        <w:t xml:space="preserve">To assess the ability of Graphic Designers to create visually compelling designs that resonate with the multicultural audience of Canada Toronto.</w:t>
      </w:r>
    </w:p>
    <w:p>
      <w:pPr>
        <w:numPr>
          <w:ilvl w:val="0"/>
          <w:numId w:val="1001"/>
        </w:numPr>
        <w:pStyle w:val="Compact"/>
      </w:pPr>
      <w:r>
        <w:t xml:space="preserve">To measure the efficiency and time management capabilities of Graphic Designers under realistic project constraints.</w:t>
      </w:r>
    </w:p>
    <w:p>
      <w:pPr>
        <w:numPr>
          <w:ilvl w:val="0"/>
          <w:numId w:val="1001"/>
        </w:numPr>
        <w:pStyle w:val="Compact"/>
      </w:pPr>
      <w:r>
        <w:t xml:space="preserve">To determine the adaptability of Graphic Designers to feedback and iterative design processes.</w:t>
      </w:r>
    </w:p>
    <w:bookmarkEnd w:id="22"/>
    <w:bookmarkStart w:id="23" w:name="scope"/>
    <w:p>
      <w:pPr>
        <w:pStyle w:val="Heading2"/>
      </w:pPr>
      <w:r>
        <w:t xml:space="preserve">3. Scope</w:t>
      </w:r>
    </w:p>
    <w:p>
      <w:pPr>
        <w:pStyle w:val="FirstParagraph"/>
      </w:pPr>
      <w:r>
        <w:t xml:space="preserve">This protocol applies to all Graphic Designers participating in the evaluation process within Canada Toronto. The scope includes:</w:t>
      </w:r>
    </w:p>
    <w:p>
      <w:pPr>
        <w:numPr>
          <w:ilvl w:val="0"/>
          <w:numId w:val="1002"/>
        </w:numPr>
        <w:pStyle w:val="Compact"/>
      </w:pPr>
      <w:r>
        <w:t xml:space="preserve">Brand identity design</w:t>
      </w:r>
    </w:p>
    <w:p>
      <w:pPr>
        <w:numPr>
          <w:ilvl w:val="0"/>
          <w:numId w:val="1002"/>
        </w:numPr>
        <w:pStyle w:val="Compact"/>
      </w:pPr>
      <w:r>
        <w:t xml:space="preserve">Digital marketing materials</w:t>
      </w:r>
    </w:p>
    <w:p>
      <w:pPr>
        <w:numPr>
          <w:ilvl w:val="0"/>
          <w:numId w:val="1002"/>
        </w:numPr>
        <w:pStyle w:val="Compact"/>
      </w:pPr>
      <w:r>
        <w:t xml:space="preserve">User interface (UI) design</w:t>
      </w:r>
    </w:p>
    <w:p>
      <w:pPr>
        <w:numPr>
          <w:ilvl w:val="0"/>
          <w:numId w:val="1002"/>
        </w:numPr>
        <w:pStyle w:val="Compact"/>
      </w:pPr>
      <w:r>
        <w:t xml:space="preserve">Print media design</w:t>
      </w:r>
    </w:p>
    <w:p>
      <w:pPr>
        <w:pStyle w:val="FirstParagraph"/>
      </w:pPr>
      <w:r>
        <w:t xml:space="preserve">The experiment will be conducted over a period of four weeks, with participants completing a series of tasks designed to simulate real-world projects encountered in the Toronto market.</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Participants will be selected based on the following criteria:</w:t>
      </w:r>
    </w:p>
    <w:p>
      <w:pPr>
        <w:numPr>
          <w:ilvl w:val="0"/>
          <w:numId w:val="1003"/>
        </w:numPr>
        <w:pStyle w:val="Compact"/>
      </w:pPr>
      <w:r>
        <w:t xml:space="preserve">Minimum of two years of professional experience as a Graphic Designer.</w:t>
      </w:r>
    </w:p>
    <w:p>
      <w:pPr>
        <w:numPr>
          <w:ilvl w:val="0"/>
          <w:numId w:val="1003"/>
        </w:numPr>
        <w:pStyle w:val="Compact"/>
      </w:pPr>
      <w:r>
        <w:t xml:space="preserve">Portfolio demonstrating proficiency in relevant design disciplines.</w:t>
      </w:r>
    </w:p>
    <w:p>
      <w:pPr>
        <w:numPr>
          <w:ilvl w:val="0"/>
          <w:numId w:val="1003"/>
        </w:numPr>
        <w:pStyle w:val="Compact"/>
      </w:pPr>
      <w:r>
        <w:t xml:space="preserve">Residency or work authorization in Canada Toronto.</w:t>
      </w:r>
    </w:p>
    <w:bookmarkEnd w:id="24"/>
    <w:bookmarkStart w:id="25" w:name="experimental-design"/>
    <w:p>
      <w:pPr>
        <w:pStyle w:val="Heading3"/>
      </w:pPr>
      <w:r>
        <w:t xml:space="preserve">4.2 Experimental Design</w:t>
      </w:r>
    </w:p>
    <w:p>
      <w:pPr>
        <w:pStyle w:val="FirstParagraph"/>
      </w:pPr>
      <w:r>
        <w:t xml:space="preserve">The experiment will consist of three phases:</w:t>
      </w:r>
    </w:p>
    <w:p>
      <w:pPr>
        <w:numPr>
          <w:ilvl w:val="0"/>
          <w:numId w:val="1004"/>
        </w:numPr>
        <w:pStyle w:val="Compact"/>
      </w:pPr>
      <w:r>
        <w:rPr>
          <w:bCs/>
          <w:b/>
        </w:rPr>
        <w:t xml:space="preserve">Phase 1: Skill Assessment</w:t>
      </w:r>
      <w:r>
        <w:t xml:space="preserve"> </w:t>
      </w:r>
      <w:r>
        <w:t xml:space="preserve">- Participants will complete a timed technical test involving the creation of a logo, social media graphics, and a basic UI mockup.</w:t>
      </w:r>
    </w:p>
    <w:p>
      <w:pPr>
        <w:numPr>
          <w:ilvl w:val="0"/>
          <w:numId w:val="1004"/>
        </w:numPr>
        <w:pStyle w:val="Compact"/>
      </w:pPr>
      <w:r>
        <w:rPr>
          <w:bCs/>
          <w:b/>
        </w:rPr>
        <w:t xml:space="preserve">Phase 2: Project Simulation</w:t>
      </w:r>
      <w:r>
        <w:t xml:space="preserve"> </w:t>
      </w:r>
      <w:r>
        <w:t xml:space="preserve">- Participants will work on a simulated client project requiring the development of a brand identity package for a fictional Toronto-based startup.</w:t>
      </w:r>
    </w:p>
    <w:p>
      <w:pPr>
        <w:numPr>
          <w:ilvl w:val="0"/>
          <w:numId w:val="1004"/>
        </w:numPr>
        <w:pStyle w:val="Compact"/>
      </w:pPr>
      <w:r>
        <w:rPr>
          <w:bCs/>
          <w:b/>
        </w:rPr>
        <w:t xml:space="preserve">Phase 3: Feedback and Iteration</w:t>
      </w:r>
      <w:r>
        <w:t xml:space="preserve"> </w:t>
      </w:r>
      <w:r>
        <w:t xml:space="preserve">- Participants will receive structured feedback on their Phase 2 work and are required to revise their designs accordingly.</w:t>
      </w:r>
    </w:p>
    <w:bookmarkEnd w:id="25"/>
    <w:bookmarkStart w:id="26" w:name="evaluation-criteria"/>
    <w:p>
      <w:pPr>
        <w:pStyle w:val="Heading3"/>
      </w:pPr>
      <w:r>
        <w:t xml:space="preserve">4.3 Evaluation Criteria</w:t>
      </w:r>
    </w:p>
    <w:p>
      <w:pPr>
        <w:pStyle w:val="FirstParagraph"/>
      </w:pPr>
      <w:r>
        <w:t xml:space="preserve">Performance will be evaluated based on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Technical Proficiency</w:t>
            </w:r>
          </w:p>
        </w:tc>
        <w:tc>
          <w:tcPr/>
          <w:p>
            <w:pPr>
              <w:pStyle w:val="Compact"/>
              <w:jc w:val="left"/>
            </w:pPr>
            <w:r>
              <w:t xml:space="preserve">Ability to use design software effectively and produce high-quality outputs.</w:t>
            </w:r>
          </w:p>
        </w:tc>
        <w:tc>
          <w:tcPr/>
          <w:p>
            <w:pPr>
              <w:pStyle w:val="Compact"/>
              <w:jc w:val="left"/>
            </w:pPr>
            <w:r>
              <w:t xml:space="preserve">30%</w:t>
            </w:r>
          </w:p>
        </w:tc>
      </w:tr>
      <w:tr>
        <w:tc>
          <w:tcPr/>
          <w:p>
            <w:pPr>
              <w:pStyle w:val="Compact"/>
              <w:jc w:val="left"/>
            </w:pPr>
            <w:r>
              <w:t xml:space="preserve">Creativity and Originality</w:t>
            </w:r>
          </w:p>
        </w:tc>
        <w:tc>
          <w:tcPr/>
          <w:p>
            <w:pPr>
              <w:pStyle w:val="Compact"/>
              <w:jc w:val="left"/>
            </w:pPr>
            <w:r>
              <w:t xml:space="preserve">Innovative use of design elements and concepts.</w:t>
            </w:r>
          </w:p>
        </w:tc>
        <w:tc>
          <w:tcPr/>
          <w:p>
            <w:pPr>
              <w:pStyle w:val="Compact"/>
              <w:jc w:val="left"/>
            </w:pPr>
            <w:r>
              <w:t xml:space="preserve">25%</w:t>
            </w:r>
          </w:p>
        </w:tc>
      </w:tr>
      <w:tr>
        <w:tc>
          <w:tcPr/>
          <w:p>
            <w:pPr>
              <w:pStyle w:val="Compact"/>
              <w:jc w:val="left"/>
            </w:pPr>
            <w:r>
              <w:t xml:space="preserve">Cultural Relevance</w:t>
            </w:r>
          </w:p>
        </w:tc>
        <w:tc>
          <w:tcPr/>
          <w:p>
            <w:pPr>
              <w:pStyle w:val="Compact"/>
              <w:jc w:val="left"/>
            </w:pPr>
            <w:r>
              <w:t xml:space="preserve">Alignment with the cultural and aesthetic preferences of the Canada Toronto audience.</w:t>
            </w:r>
          </w:p>
        </w:tc>
        <w:tc>
          <w:tcPr/>
          <w:p>
            <w:pPr>
              <w:pStyle w:val="Compact"/>
              <w:jc w:val="left"/>
            </w:pPr>
            <w:r>
              <w:t xml:space="preserve">20%</w:t>
            </w:r>
          </w:p>
        </w:tc>
      </w:tr>
      <w:tr>
        <w:tc>
          <w:tcPr/>
          <w:p>
            <w:pPr>
              <w:pStyle w:val="Compact"/>
              <w:jc w:val="left"/>
            </w:pPr>
            <w:r>
              <w:t xml:space="preserve">Efficiency</w:t>
            </w:r>
          </w:p>
        </w:tc>
        <w:tc>
          <w:tcPr/>
          <w:p>
            <w:pPr>
              <w:pStyle w:val="Compact"/>
              <w:jc w:val="left"/>
            </w:pPr>
            <w:r>
              <w:t xml:space="preserve">Ability to complete tasks within the given timeframe.</w:t>
            </w:r>
          </w:p>
        </w:tc>
        <w:tc>
          <w:tcPr/>
          <w:p>
            <w:pPr>
              <w:pStyle w:val="Compact"/>
              <w:jc w:val="left"/>
            </w:pPr>
            <w:r>
              <w:t xml:space="preserve">15%</w:t>
            </w:r>
          </w:p>
        </w:tc>
      </w:tr>
      <w:tr>
        <w:tc>
          <w:tcPr/>
          <w:p>
            <w:pPr>
              <w:pStyle w:val="Compact"/>
              <w:jc w:val="left"/>
            </w:pPr>
            <w:r>
              <w:t xml:space="preserve">Adaptability</w:t>
            </w:r>
          </w:p>
        </w:tc>
        <w:tc>
          <w:tcPr/>
          <w:p>
            <w:pPr>
              <w:pStyle w:val="Compact"/>
              <w:jc w:val="left"/>
            </w:pPr>
            <w:r>
              <w:t xml:space="preserve">Responsiveness to feedback and ability to iterate on designs.</w:t>
            </w:r>
          </w:p>
        </w:tc>
        <w:tc>
          <w:tcPr/>
          <w:p>
            <w:pPr>
              <w:pStyle w:val="Compact"/>
              <w:jc w:val="left"/>
            </w:pPr>
            <w:r>
              <w:t xml:space="preserve">10%</w:t>
            </w:r>
          </w:p>
        </w:tc>
      </w:tr>
    </w:tbl>
    <w:bookmarkEnd w:id="26"/>
    <w:bookmarkEnd w:id="27"/>
    <w:bookmarkStart w:id="28" w:name="data-collection"/>
    <w:p>
      <w:pPr>
        <w:pStyle w:val="Heading2"/>
      </w:pPr>
      <w:r>
        <w:t xml:space="preserve">5. Data Collection</w:t>
      </w:r>
    </w:p>
    <w:p>
      <w:pPr>
        <w:pStyle w:val="FirstParagraph"/>
      </w:pPr>
      <w:r>
        <w:t xml:space="preserve">Data will be collected through the following methods:</w:t>
      </w:r>
    </w:p>
    <w:p>
      <w:pPr>
        <w:numPr>
          <w:ilvl w:val="0"/>
          <w:numId w:val="1005"/>
        </w:numPr>
        <w:pStyle w:val="Compact"/>
      </w:pPr>
      <w:r>
        <w:t xml:space="preserve">Review of design outputs against the evaluation criteria.</w:t>
      </w:r>
    </w:p>
    <w:p>
      <w:pPr>
        <w:numPr>
          <w:ilvl w:val="0"/>
          <w:numId w:val="1005"/>
        </w:numPr>
        <w:pStyle w:val="Compact"/>
      </w:pPr>
      <w:r>
        <w:t xml:space="preserve">Time tracking logs to measure efficiency.</w:t>
      </w:r>
    </w:p>
    <w:p>
      <w:pPr>
        <w:numPr>
          <w:ilvl w:val="0"/>
          <w:numId w:val="1005"/>
        </w:numPr>
        <w:pStyle w:val="Compact"/>
      </w:pPr>
      <w:r>
        <w:t xml:space="preserve">Feedback forms completed by evaluators.</w:t>
      </w:r>
    </w:p>
    <w:p>
      <w:pPr>
        <w:numPr>
          <w:ilvl w:val="0"/>
          <w:numId w:val="1005"/>
        </w:numPr>
        <w:pStyle w:val="Compact"/>
      </w:pPr>
      <w:r>
        <w:t xml:space="preserve">Self-assessment surveys completed by participants.</w:t>
      </w:r>
    </w:p>
    <w:bookmarkEnd w:id="28"/>
    <w:bookmarkStart w:id="29" w:name="ethical-considerations"/>
    <w:p>
      <w:pPr>
        <w:pStyle w:val="Heading2"/>
      </w:pPr>
      <w:r>
        <w:t xml:space="preserve">6. Ethical Considerations</w:t>
      </w:r>
    </w:p>
    <w:p>
      <w:pPr>
        <w:pStyle w:val="FirstParagraph"/>
      </w:pPr>
      <w:r>
        <w:t xml:space="preserve">This experiment adheres to ethical guidelines for research involving human participants. Key considerations include:</w:t>
      </w:r>
    </w:p>
    <w:p>
      <w:pPr>
        <w:numPr>
          <w:ilvl w:val="0"/>
          <w:numId w:val="1006"/>
        </w:numPr>
        <w:pStyle w:val="Compact"/>
      </w:pPr>
      <w:r>
        <w:t xml:space="preserve">Informed consent will be obtained from all participants prior to their involvement.</w:t>
      </w:r>
    </w:p>
    <w:p>
      <w:pPr>
        <w:numPr>
          <w:ilvl w:val="0"/>
          <w:numId w:val="1006"/>
        </w:numPr>
        <w:pStyle w:val="Compact"/>
      </w:pPr>
      <w:r>
        <w:t xml:space="preserve">Participant data will be anonymized and stored securely.</w:t>
      </w:r>
    </w:p>
    <w:p>
      <w:pPr>
        <w:numPr>
          <w:ilvl w:val="0"/>
          <w:numId w:val="1006"/>
        </w:numPr>
        <w:pStyle w:val="Compact"/>
      </w:pPr>
      <w:r>
        <w:t xml:space="preserve">Participants will be free to withdraw from the experiment at any time without penalty.</w:t>
      </w:r>
    </w:p>
    <w:bookmarkEnd w:id="29"/>
    <w:bookmarkStart w:id="30"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Phase 1</w:t>
            </w:r>
          </w:p>
        </w:tc>
        <w:tc>
          <w:tcPr/>
          <w:p>
            <w:pPr>
              <w:pStyle w:val="Compact"/>
              <w:jc w:val="left"/>
            </w:pPr>
            <w:r>
              <w:t xml:space="preserve">Week 1</w:t>
            </w:r>
          </w:p>
        </w:tc>
        <w:tc>
          <w:tcPr/>
          <w:p>
            <w:pPr>
              <w:pStyle w:val="Compact"/>
              <w:jc w:val="left"/>
            </w:pPr>
            <w:r>
              <w:t xml:space="preserve">Skill assessment tasks.</w:t>
            </w:r>
          </w:p>
        </w:tc>
      </w:tr>
      <w:tr>
        <w:tc>
          <w:tcPr/>
          <w:p>
            <w:pPr>
              <w:pStyle w:val="Compact"/>
              <w:jc w:val="left"/>
            </w:pPr>
            <w:r>
              <w:t xml:space="preserve">Phase 2</w:t>
            </w:r>
          </w:p>
        </w:tc>
        <w:tc>
          <w:tcPr/>
          <w:p>
            <w:pPr>
              <w:pStyle w:val="Compact"/>
              <w:jc w:val="left"/>
            </w:pPr>
            <w:r>
              <w:t xml:space="preserve">Weeks 2-3</w:t>
            </w:r>
          </w:p>
        </w:tc>
        <w:tc>
          <w:tcPr/>
          <w:p>
            <w:pPr>
              <w:pStyle w:val="Compact"/>
              <w:jc w:val="left"/>
            </w:pPr>
            <w:r>
              <w:t xml:space="preserve">Project simulation and design development.</w:t>
            </w:r>
          </w:p>
        </w:tc>
      </w:tr>
      <w:tr>
        <w:tc>
          <w:tcPr/>
          <w:p>
            <w:pPr>
              <w:pStyle w:val="Compact"/>
              <w:jc w:val="left"/>
            </w:pPr>
            <w:r>
              <w:t xml:space="preserve">Phase 3</w:t>
            </w:r>
          </w:p>
        </w:tc>
        <w:tc>
          <w:tcPr/>
          <w:p>
            <w:pPr>
              <w:pStyle w:val="Compact"/>
              <w:jc w:val="left"/>
            </w:pPr>
            <w:r>
              <w:t xml:space="preserve">Week 4</w:t>
            </w:r>
          </w:p>
        </w:tc>
        <w:tc>
          <w:tcPr/>
          <w:p>
            <w:pPr>
              <w:pStyle w:val="Compact"/>
              <w:jc w:val="left"/>
            </w:pPr>
            <w:r>
              <w:t xml:space="preserve">Feedback, iteration, and final evaluation.</w:t>
            </w:r>
          </w:p>
        </w:tc>
      </w:tr>
    </w:tbl>
    <w:bookmarkEnd w:id="30"/>
    <w:bookmarkStart w:id="31" w:name="conclusion"/>
    <w:p>
      <w:pPr>
        <w:pStyle w:val="Heading2"/>
      </w:pPr>
      <w:r>
        <w:t xml:space="preserve">8. Conclusion</w:t>
      </w:r>
    </w:p>
    <w:p>
      <w:pPr>
        <w:pStyle w:val="FirstParagraph"/>
      </w:pPr>
      <w:r>
        <w:t xml:space="preserve">This Experiment Protocol provides a structured approach to evaluating the capabilities of Graphic Designers in the context of Canada Toronto. By focusing on technical skills, creativity, cultural relevance, and adaptability, this protocol aims to identify designers who can effectively meet the demands of the local market. The insights gained from this experiment will contribute to the development of best practices for hiring and training Graphic Designers in Toronto's competitive creative industry.</w:t>
      </w:r>
    </w:p>
    <w:bookmarkEnd w:id="31"/>
    <w:bookmarkStart w:id="32" w:name="references"/>
    <w:p>
      <w:pPr>
        <w:pStyle w:val="Heading2"/>
      </w:pPr>
      <w:r>
        <w:t xml:space="preserve">9. References</w:t>
      </w:r>
    </w:p>
    <w:p>
      <w:pPr>
        <w:numPr>
          <w:ilvl w:val="0"/>
          <w:numId w:val="1007"/>
        </w:numPr>
        <w:pStyle w:val="Compact"/>
      </w:pPr>
      <w:r>
        <w:t xml:space="preserve">Adobe Systems. (2024). Adobe Creative Suite Documentation.</w:t>
      </w:r>
    </w:p>
    <w:p>
      <w:pPr>
        <w:numPr>
          <w:ilvl w:val="0"/>
          <w:numId w:val="1007"/>
        </w:numPr>
        <w:pStyle w:val="Compact"/>
      </w:pPr>
      <w:r>
        <w:t xml:space="preserve">Toronto Design Association. (2024). Industry Standards for Graphic Design.</w:t>
      </w:r>
    </w:p>
    <w:p>
      <w:pPr>
        <w:numPr>
          <w:ilvl w:val="0"/>
          <w:numId w:val="1007"/>
        </w:numPr>
        <w:pStyle w:val="Compact"/>
      </w:pPr>
      <w:r>
        <w:t xml:space="preserve">Canadian Association of Professional Graphic Designers. (2024). Code of Ethics and Practice.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Performance in Canada Toronto</dc:title>
  <dc:creator/>
  <dc:language>en</dc:language>
  <cp:keywords/>
  <dcterms:created xsi:type="dcterms:W3CDTF">2026-10-10T02:16:11Z</dcterms:created>
  <dcterms:modified xsi:type="dcterms:W3CDTF">2026-10-10T02:16:11Z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