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Bogotá,</w:t>
      </w:r>
      <w:r>
        <w:t xml:space="preserve"> </w:t>
      </w:r>
      <w:r>
        <w:t xml:space="preserve">Colombia</w:t>
      </w:r>
    </w:p>
    <w:bookmarkStart w:id="20" w:name="Xe1863d8349e3bf11b3d75fc06879453415c662d"/>
    <w:p>
      <w:pPr>
        <w:pStyle w:val="Heading1"/>
      </w:pPr>
      <w:r>
        <w:t xml:space="preserve">Experiment Protocol: Graphic Designer Performance and Cultural Adaptation in Bogotá, Colombia</w:t>
      </w:r>
    </w:p>
    <w:p>
      <w:pPr>
        <w:pStyle w:val="FirstParagraph"/>
      </w:pPr>
      <w:r>
        <w:rPr>
          <w:bCs/>
          <w:b/>
        </w:rPr>
        <w:t xml:space="preserve">Protocol ID:</w:t>
      </w:r>
      <w:r>
        <w:t xml:space="preserve"> </w:t>
      </w:r>
      <w:r>
        <w:t xml:space="preserve">EXP-BG-2024-GD-001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Bogotá, Colombia</w:t>
      </w:r>
    </w:p>
    <w:p>
      <w:pPr>
        <w:pStyle w:val="BodyText"/>
      </w:pPr>
      <w:r>
        <w:rPr>
          <w:bCs/>
          <w:b/>
        </w:rPr>
        <w:t xml:space="preserve">Subject:</w:t>
      </w:r>
      <w:r>
        <w:t xml:space="preserve"> </w:t>
      </w:r>
      <w:r>
        <w:t xml:space="preserve">Graphic Designer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cultural adaptation, and creative output of a</w:t>
      </w:r>
      <w:r>
        <w:t xml:space="preserve"> </w:t>
      </w:r>
      <w:r>
        <w:rPr>
          <w:bCs/>
          <w:b/>
        </w:rPr>
        <w:t xml:space="preserve">Graphic Designer</w:t>
      </w:r>
      <w:r>
        <w:t xml:space="preserve"> </w:t>
      </w:r>
      <w:r>
        <w:t xml:space="preserve">operating within the specific socio-economic and cultural context of</w:t>
      </w:r>
      <w:r>
        <w:t xml:space="preserve"> </w:t>
      </w:r>
      <w:r>
        <w:rPr>
          <w:bCs/>
          <w:b/>
        </w:rPr>
        <w:t xml:space="preserve">Bogotá, Colombia</w:t>
      </w:r>
      <w:r>
        <w:t xml:space="preserve">. Bogotá is a rapidly evolving hub for digital innovation and creative industries in Latin America. Understanding how a Graphic Designer navigates local design trends, client expectations, and cultural nuances is critical for optimizing creative workflows and deliverables.</w:t>
      </w:r>
    </w:p>
    <w:p>
      <w:pPr>
        <w:pStyle w:val="BodyText"/>
      </w:pPr>
      <w:r>
        <w:t xml:space="preserve">The primary objective of this experiment is to evaluate the effectiveness of design strategies when tailored to the Bogotá market versus generic international standards. This protocol ensures that all experimental procedures are conducted ethically, systematically, and with clear metrics for success.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determine the impact of localized cultural elements on the engagement metrics of graphic design projects created by a Graphic Designer in Bogotá, Colombia.</w:t>
      </w:r>
    </w:p>
    <w:bookmarkEnd w:id="22"/>
    <w:bookmarkStart w:id="23" w:name="secondary-objectives"/>
    <w:p>
      <w:pPr>
        <w:pStyle w:val="Heading3"/>
      </w:pPr>
      <w:r>
        <w:t xml:space="preserve">2.2 Secondary Objectives</w:t>
      </w:r>
    </w:p>
    <w:p>
      <w:pPr>
        <w:numPr>
          <w:ilvl w:val="0"/>
          <w:numId w:val="1001"/>
        </w:numPr>
        <w:pStyle w:val="Compact"/>
      </w:pPr>
      <w:r>
        <w:t xml:space="preserve">To assess the efficiency of the Graphic Designer in meeting deadlines under local working conditions.</w:t>
      </w:r>
    </w:p>
    <w:p>
      <w:pPr>
        <w:numPr>
          <w:ilvl w:val="0"/>
          <w:numId w:val="1001"/>
        </w:numPr>
        <w:pStyle w:val="Compact"/>
      </w:pPr>
      <w:r>
        <w:t xml:space="preserve">To evaluate client satisfaction levels regarding cultural relevance in design deliverables.</w:t>
      </w:r>
    </w:p>
    <w:p>
      <w:pPr>
        <w:numPr>
          <w:ilvl w:val="0"/>
          <w:numId w:val="1001"/>
        </w:numPr>
        <w:pStyle w:val="Compact"/>
      </w:pPr>
      <w:r>
        <w:t xml:space="preserve">To identify specific design trends prevalent in Bogotá that influence user interaction.</w:t>
      </w:r>
    </w:p>
    <w:bookmarkEnd w:id="23"/>
    <w:bookmarkEnd w:id="24"/>
    <w:bookmarkStart w:id="28" w:name="methodology"/>
    <w:p>
      <w:pPr>
        <w:pStyle w:val="Heading2"/>
      </w:pPr>
      <w:r>
        <w:t xml:space="preserve">3. Methodology</w:t>
      </w:r>
    </w:p>
    <w:bookmarkStart w:id="25" w:name="participants"/>
    <w:p>
      <w:pPr>
        <w:pStyle w:val="Heading3"/>
      </w:pPr>
      <w:r>
        <w:t xml:space="preserve">3.1 Participants</w:t>
      </w:r>
    </w:p>
    <w:p>
      <w:pPr>
        <w:pStyle w:val="FirstParagraph"/>
      </w:pPr>
      <w:r>
        <w:t xml:space="preserve">The experiment will involve one primary</w:t>
      </w:r>
      <w:r>
        <w:t xml:space="preserve"> </w:t>
      </w:r>
      <w:r>
        <w:rPr>
          <w:bCs/>
          <w:b/>
        </w:rPr>
        <w:t xml:space="preserve">Graphic Designer</w:t>
      </w:r>
      <w:r>
        <w:t xml:space="preserve"> </w:t>
      </w:r>
      <w:r>
        <w:t xml:space="preserve">based in Bogotá, Colombia, with at least three years of professional experience. Additionally, a focus group of 50 local consumers from diverse socioeconomic backgrounds in Bogotá will be recruited to evaluate the design outputs.</w:t>
      </w:r>
    </w:p>
    <w:bookmarkEnd w:id="25"/>
    <w:bookmarkStart w:id="26" w:name="experimental-design"/>
    <w:p>
      <w:pPr>
        <w:pStyle w:val="Heading3"/>
      </w:pPr>
      <w:r>
        <w:t xml:space="preserve">3.2 Experimental Design</w:t>
      </w:r>
    </w:p>
    <w:p>
      <w:pPr>
        <w:pStyle w:val="FirstParagraph"/>
      </w:pPr>
      <w:r>
        <w:t xml:space="preserve">The study will utilize a controlled A/B testing framework. The Graphic Designer will create two distinct sets of visual assets for a hypothetical local brand:</w:t>
      </w:r>
    </w:p>
    <w:p>
      <w:pPr>
        <w:numPr>
          <w:ilvl w:val="0"/>
          <w:numId w:val="1002"/>
        </w:numPr>
        <w:pStyle w:val="Compact"/>
      </w:pPr>
      <w:r>
        <w:rPr>
          <w:bCs/>
          <w:b/>
        </w:rPr>
        <w:t xml:space="preserve">Group A (Localized):</w:t>
      </w:r>
      <w:r>
        <w:t xml:space="preserve"> </w:t>
      </w:r>
      <w:r>
        <w:t xml:space="preserve">Designs incorporating specific cultural symbols, color palettes, and typography trends recognized in Bogotá.</w:t>
      </w:r>
    </w:p>
    <w:p>
      <w:pPr>
        <w:numPr>
          <w:ilvl w:val="0"/>
          <w:numId w:val="1002"/>
        </w:numPr>
        <w:pStyle w:val="Compact"/>
      </w:pPr>
      <w:r>
        <w:rPr>
          <w:bCs/>
          <w:b/>
        </w:rPr>
        <w:t xml:space="preserve">Group B (Generic):</w:t>
      </w:r>
      <w:r>
        <w:t xml:space="preserve"> </w:t>
      </w:r>
      <w:r>
        <w:t xml:space="preserve">Designs following standard international minimalist trends without specific local cultural references.</w:t>
      </w:r>
    </w:p>
    <w:bookmarkEnd w:id="26"/>
    <w:bookmarkStart w:id="27" w:name="procedure"/>
    <w:p>
      <w:pPr>
        <w:pStyle w:val="Heading3"/>
      </w:pPr>
      <w:r>
        <w:t xml:space="preserve">3.3 Procedure</w:t>
      </w:r>
    </w:p>
    <w:p>
      <w:pPr>
        <w:numPr>
          <w:ilvl w:val="0"/>
          <w:numId w:val="1003"/>
        </w:numPr>
        <w:pStyle w:val="Compact"/>
      </w:pPr>
      <w:r>
        <w:rPr>
          <w:bCs/>
          <w:b/>
        </w:rPr>
        <w:t xml:space="preserve">Briefing:</w:t>
      </w:r>
      <w:r>
        <w:t xml:space="preserve"> </w:t>
      </w:r>
      <w:r>
        <w:t xml:space="preserve">The Graphic Designer receives a detailed project brief outlining the brand identity and target audience in Bogotá.</w:t>
      </w:r>
    </w:p>
    <w:p>
      <w:pPr>
        <w:numPr>
          <w:ilvl w:val="0"/>
          <w:numId w:val="1003"/>
        </w:numPr>
        <w:pStyle w:val="Compact"/>
      </w:pPr>
      <w:r>
        <w:rPr>
          <w:bCs/>
          <w:b/>
        </w:rPr>
        <w:t xml:space="preserve">Creation Phase:</w:t>
      </w:r>
      <w:r>
        <w:t xml:space="preserve"> </w:t>
      </w:r>
      <w:r>
        <w:t xml:space="preserve">The designer produces both sets of assets within a fixed timeframe of 10 business days.</w:t>
      </w:r>
    </w:p>
    <w:p>
      <w:pPr>
        <w:numPr>
          <w:ilvl w:val="0"/>
          <w:numId w:val="1003"/>
        </w:numPr>
        <w:pStyle w:val="Compact"/>
      </w:pPr>
      <w:r>
        <w:rPr>
          <w:bCs/>
          <w:b/>
        </w:rPr>
        <w:t xml:space="preserve">Distribution:</w:t>
      </w:r>
      <w:r>
        <w:t xml:space="preserve"> </w:t>
      </w:r>
      <w:r>
        <w:t xml:space="preserve">Both sets of designs are distributed to the focus group via digital platforms commonly used in Colombia.</w:t>
      </w:r>
    </w:p>
    <w:p>
      <w:pPr>
        <w:numPr>
          <w:ilvl w:val="0"/>
          <w:numId w:val="1003"/>
        </w:numPr>
        <w:pStyle w:val="Compact"/>
      </w:pPr>
      <w:r>
        <w:rPr>
          <w:bCs/>
          <w:b/>
        </w:rPr>
        <w:t xml:space="preserve">Data Collection:</w:t>
      </w:r>
      <w:r>
        <w:t xml:space="preserve"> </w:t>
      </w:r>
      <w:r>
        <w:t xml:space="preserve">Participants complete surveys assessing aesthetic appeal, cultural relevance, and purchase intent.</w:t>
      </w:r>
    </w:p>
    <w:bookmarkEnd w:id="27"/>
    <w:bookmarkEnd w:id="28"/>
    <w:bookmarkStart w:id="29" w:name="materials-and-resources"/>
    <w:p>
      <w:pPr>
        <w:pStyle w:val="Heading2"/>
      </w:pPr>
      <w:r>
        <w:t xml:space="preserve">4. Materials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Design Software</w:t>
            </w:r>
          </w:p>
        </w:tc>
        <w:tc>
          <w:tcPr/>
          <w:p>
            <w:pPr>
              <w:pStyle w:val="Compact"/>
              <w:jc w:val="left"/>
            </w:pPr>
            <w:r>
              <w:t xml:space="preserve">Adobe Creative Cloud Suite</w:t>
            </w:r>
          </w:p>
        </w:tc>
        <w:tc>
          <w:tcPr/>
          <w:p>
            <w:pPr>
              <w:pStyle w:val="Compact"/>
              <w:jc w:val="left"/>
            </w:pPr>
            <w:r>
              <w:t xml:space="preserve">1 License</w:t>
            </w:r>
          </w:p>
        </w:tc>
      </w:tr>
      <w:tr>
        <w:tc>
          <w:tcPr/>
          <w:p>
            <w:pPr>
              <w:pStyle w:val="Compact"/>
              <w:jc w:val="left"/>
            </w:pPr>
            <w:r>
              <w:t xml:space="preserve">Hardware</w:t>
            </w:r>
          </w:p>
        </w:tc>
        <w:tc>
          <w:tcPr/>
          <w:p>
            <w:pPr>
              <w:pStyle w:val="Compact"/>
              <w:jc w:val="left"/>
            </w:pPr>
            <w:r>
              <w:t xml:space="preserve">High-performance workstation</w:t>
            </w:r>
          </w:p>
        </w:tc>
        <w:tc>
          <w:tcPr/>
          <w:p>
            <w:pPr>
              <w:pStyle w:val="Compact"/>
              <w:jc w:val="left"/>
            </w:pPr>
            <w:r>
              <w:t xml:space="preserve">1 Unit</w:t>
            </w:r>
          </w:p>
        </w:tc>
      </w:tr>
      <w:tr>
        <w:tc>
          <w:tcPr/>
          <w:p>
            <w:pPr>
              <w:pStyle w:val="Compact"/>
              <w:jc w:val="left"/>
            </w:pPr>
            <w:r>
              <w:t xml:space="preserve">Survey Platform</w:t>
            </w:r>
          </w:p>
        </w:tc>
        <w:tc>
          <w:tcPr/>
          <w:p>
            <w:pPr>
              <w:pStyle w:val="Compact"/>
              <w:jc w:val="left"/>
            </w:pPr>
            <w:r>
              <w:t xml:space="preserve">Online survey tool localized for Spanish speakers</w:t>
            </w:r>
          </w:p>
        </w:tc>
        <w:tc>
          <w:tcPr/>
          <w:p>
            <w:pPr>
              <w:pStyle w:val="Compact"/>
              <w:jc w:val="left"/>
            </w:pPr>
            <w:r>
              <w:t xml:space="preserve">1 Subscription</w:t>
            </w:r>
          </w:p>
        </w:tc>
      </w:tr>
      <w:tr>
        <w:tc>
          <w:tcPr/>
          <w:p>
            <w:pPr>
              <w:pStyle w:val="Compact"/>
              <w:jc w:val="left"/>
            </w:pPr>
            <w:r>
              <w:t xml:space="preserve">Focus Group Participants</w:t>
            </w:r>
          </w:p>
        </w:tc>
        <w:tc>
          <w:tcPr/>
          <w:p>
            <w:pPr>
              <w:pStyle w:val="Compact"/>
              <w:jc w:val="left"/>
            </w:pPr>
            <w:r>
              <w:t xml:space="preserve">Residents of Bogotá, Colombia</w:t>
            </w:r>
          </w:p>
        </w:tc>
        <w:tc>
          <w:tcPr/>
          <w:p>
            <w:pPr>
              <w:pStyle w:val="Compact"/>
              <w:jc w:val="left"/>
            </w:pPr>
            <w:r>
              <w:t xml:space="preserve">50 Individuals</w:t>
            </w:r>
          </w:p>
        </w:tc>
      </w:tr>
    </w:tbl>
    <w:bookmarkEnd w:id="29"/>
    <w:bookmarkStart w:id="32" w:name="data-collection-and-analysis"/>
    <w:p>
      <w:pPr>
        <w:pStyle w:val="Heading2"/>
      </w:pPr>
      <w:r>
        <w:t xml:space="preserve">5. Data Collection and Analysis</w:t>
      </w:r>
    </w:p>
    <w:bookmarkStart w:id="30" w:name="metrics"/>
    <w:p>
      <w:pPr>
        <w:pStyle w:val="Heading3"/>
      </w:pPr>
      <w:r>
        <w:t xml:space="preserve">5.1 Metrics</w:t>
      </w:r>
    </w:p>
    <w:p>
      <w:pPr>
        <w:pStyle w:val="FirstParagraph"/>
      </w:pPr>
      <w:r>
        <w:t xml:space="preserve">Data will be collected using both quantitative and qualitative methods. Key performance indicators (KPIs) include:</w:t>
      </w:r>
    </w:p>
    <w:p>
      <w:pPr>
        <w:numPr>
          <w:ilvl w:val="0"/>
          <w:numId w:val="1004"/>
        </w:numPr>
        <w:pStyle w:val="Compact"/>
      </w:pPr>
      <w:r>
        <w:rPr>
          <w:bCs/>
          <w:b/>
        </w:rPr>
        <w:t xml:space="preserve">Engagement Rate:</w:t>
      </w:r>
      <w:r>
        <w:t xml:space="preserve"> </w:t>
      </w:r>
      <w:r>
        <w:t xml:space="preserve">Time spent viewing each design set.</w:t>
      </w:r>
    </w:p>
    <w:p>
      <w:pPr>
        <w:numPr>
          <w:ilvl w:val="0"/>
          <w:numId w:val="1004"/>
        </w:numPr>
        <w:pStyle w:val="Compact"/>
      </w:pPr>
      <w:r>
        <w:rPr>
          <w:bCs/>
          <w:b/>
        </w:rPr>
        <w:t xml:space="preserve">Cultural Relevance Score:</w:t>
      </w:r>
      <w:r>
        <w:t xml:space="preserve"> </w:t>
      </w:r>
      <w:r>
        <w:t xml:space="preserve">Participant rating on a scale of 1-10.</w:t>
      </w:r>
    </w:p>
    <w:p>
      <w:pPr>
        <w:numPr>
          <w:ilvl w:val="0"/>
          <w:numId w:val="1004"/>
        </w:numPr>
        <w:pStyle w:val="Compact"/>
      </w:pPr>
      <w:r>
        <w:rPr>
          <w:bCs/>
          <w:b/>
        </w:rPr>
        <w:t xml:space="preserve">Conversion Intent:</w:t>
      </w:r>
      <w:r>
        <w:t xml:space="preserve"> </w:t>
      </w:r>
      <w:r>
        <w:t xml:space="preserve">Percentage of participants indicating likelihood to engage with the brand.</w:t>
      </w:r>
    </w:p>
    <w:bookmarkEnd w:id="30"/>
    <w:bookmarkStart w:id="31" w:name="analysis"/>
    <w:p>
      <w:pPr>
        <w:pStyle w:val="Heading3"/>
      </w:pPr>
      <w:r>
        <w:t xml:space="preserve">5.2 Analysis</w:t>
      </w:r>
    </w:p>
    <w:p>
      <w:pPr>
        <w:pStyle w:val="FirstParagraph"/>
      </w:pPr>
      <w:r>
        <w:t xml:space="preserve">Statistical analysis will be performed to compare the performance of Group A and Group B. The results will provide insights into how a</w:t>
      </w:r>
      <w:r>
        <w:t xml:space="preserve"> </w:t>
      </w:r>
      <w:r>
        <w:rPr>
          <w:bCs/>
          <w:b/>
        </w:rPr>
        <w:t xml:space="preserve">Graphic Designer</w:t>
      </w:r>
      <w:r>
        <w:t xml:space="preserve"> </w:t>
      </w:r>
      <w:r>
        <w:t xml:space="preserve">can leverage local cultural knowledge in</w:t>
      </w:r>
      <w:r>
        <w:t xml:space="preserve"> </w:t>
      </w:r>
      <w:r>
        <w:rPr>
          <w:bCs/>
          <w:b/>
        </w:rPr>
        <w:t xml:space="preserve">Bogotá, Colombia</w:t>
      </w:r>
      <w:r>
        <w:t xml:space="preserve"> </w:t>
      </w:r>
      <w:r>
        <w:t xml:space="preserve">to enhance design effectiveness.</w:t>
      </w:r>
    </w:p>
    <w:bookmarkEnd w:id="31"/>
    <w:bookmarkEnd w:id="32"/>
    <w:bookmarkStart w:id="33" w:name="ethical-considerations"/>
    <w:p>
      <w:pPr>
        <w:pStyle w:val="Heading2"/>
      </w:pPr>
      <w:r>
        <w:t xml:space="preserve">6. Ethical Considerations</w:t>
      </w:r>
    </w:p>
    <w:p>
      <w:pPr>
        <w:pStyle w:val="FirstParagraph"/>
      </w:pPr>
      <w:r>
        <w:t xml:space="preserve">All participants will provide informed consent prior to involvement in the experiment. Data collected will be anonymized and stored securely in compliance with Colombian data protection laws. The Graphic Designer will be compensated fairly for their work, and all intellectual property rights will be clearly defined in a contract.</w:t>
      </w:r>
    </w:p>
    <w:bookmarkEnd w:id="33"/>
    <w:bookmarkStart w:id="34"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Nov 1, 2024</w:t>
            </w:r>
          </w:p>
        </w:tc>
        <w:tc>
          <w:tcPr/>
          <w:p>
            <w:pPr>
              <w:pStyle w:val="Compact"/>
              <w:jc w:val="left"/>
            </w:pPr>
            <w:r>
              <w:t xml:space="preserve">Nov 7, 2024</w:t>
            </w:r>
          </w:p>
        </w:tc>
      </w:tr>
      <w:tr>
        <w:tc>
          <w:tcPr/>
          <w:p>
            <w:pPr>
              <w:pStyle w:val="Compact"/>
              <w:jc w:val="left"/>
            </w:pPr>
            <w:r>
              <w:t xml:space="preserve">Design Creation</w:t>
            </w:r>
          </w:p>
        </w:tc>
        <w:tc>
          <w:tcPr/>
          <w:p>
            <w:pPr>
              <w:pStyle w:val="Compact"/>
              <w:jc w:val="left"/>
            </w:pPr>
            <w:r>
              <w:t xml:space="preserve">2 Weeks</w:t>
            </w:r>
          </w:p>
        </w:tc>
        <w:tc>
          <w:tcPr/>
          <w:p>
            <w:pPr>
              <w:pStyle w:val="Compact"/>
              <w:jc w:val="left"/>
            </w:pPr>
            <w:r>
              <w:t xml:space="preserve">Nov 8, 2024</w:t>
            </w:r>
          </w:p>
        </w:tc>
        <w:tc>
          <w:tcPr/>
          <w:p>
            <w:pPr>
              <w:pStyle w:val="Compact"/>
              <w:jc w:val="left"/>
            </w:pPr>
            <w:r>
              <w:t xml:space="preserve">Nov 21, 2024</w:t>
            </w:r>
          </w:p>
        </w:tc>
      </w:tr>
      <w:tr>
        <w:tc>
          <w:tcPr/>
          <w:p>
            <w:pPr>
              <w:pStyle w:val="Compact"/>
              <w:jc w:val="left"/>
            </w:pPr>
            <w:r>
              <w:t xml:space="preserve">Data Collection</w:t>
            </w:r>
          </w:p>
        </w:tc>
        <w:tc>
          <w:tcPr/>
          <w:p>
            <w:pPr>
              <w:pStyle w:val="Compact"/>
              <w:jc w:val="left"/>
            </w:pPr>
            <w:r>
              <w:t xml:space="preserve">2 Weeks</w:t>
            </w:r>
          </w:p>
        </w:tc>
        <w:tc>
          <w:tcPr/>
          <w:p>
            <w:pPr>
              <w:pStyle w:val="Compact"/>
              <w:jc w:val="left"/>
            </w:pPr>
            <w:r>
              <w:t xml:space="preserve">Nov 22, 2024</w:t>
            </w:r>
          </w:p>
        </w:tc>
        <w:tc>
          <w:tcPr/>
          <w:p>
            <w:pPr>
              <w:pStyle w:val="Compact"/>
              <w:jc w:val="left"/>
            </w:pPr>
            <w:r>
              <w:t xml:space="preserve">Dec 5, 2024</w:t>
            </w:r>
          </w:p>
        </w:tc>
      </w:tr>
      <w:tr>
        <w:tc>
          <w:tcPr/>
          <w:p>
            <w:pPr>
              <w:pStyle w:val="Compact"/>
              <w:jc w:val="left"/>
            </w:pPr>
            <w:r>
              <w:t xml:space="preserve">Analysis and Reporting</w:t>
            </w:r>
          </w:p>
        </w:tc>
        <w:tc>
          <w:tcPr/>
          <w:p>
            <w:pPr>
              <w:pStyle w:val="Compact"/>
              <w:jc w:val="left"/>
            </w:pPr>
            <w:r>
              <w:t xml:space="preserve">1 Week</w:t>
            </w:r>
          </w:p>
        </w:tc>
        <w:tc>
          <w:tcPr/>
          <w:p>
            <w:pPr>
              <w:pStyle w:val="Compact"/>
              <w:jc w:val="left"/>
            </w:pPr>
            <w:r>
              <w:t xml:space="preserve">Dec 6, 2024</w:t>
            </w:r>
          </w:p>
        </w:tc>
        <w:tc>
          <w:tcPr/>
          <w:p>
            <w:pPr>
              <w:pStyle w:val="Compact"/>
              <w:jc w:val="left"/>
            </w:pPr>
            <w:r>
              <w:t xml:space="preserve">Dec 12, 2024</w:t>
            </w:r>
          </w:p>
        </w:tc>
      </w:tr>
    </w:tbl>
    <w:bookmarkEnd w:id="34"/>
    <w:bookmarkStart w:id="35" w:name="conclusion"/>
    <w:p>
      <w:pPr>
        <w:pStyle w:val="Heading2"/>
      </w:pPr>
      <w:r>
        <w:t xml:space="preserve">8. Conclusion</w:t>
      </w:r>
    </w:p>
    <w:p>
      <w:pPr>
        <w:pStyle w:val="FirstParagraph"/>
      </w:pPr>
      <w:r>
        <w:t xml:space="preserve">This Experiment Protocol provides a structured approach to evaluating the role of a</w:t>
      </w:r>
      <w:r>
        <w:t xml:space="preserve"> </w:t>
      </w:r>
      <w:r>
        <w:rPr>
          <w:bCs/>
          <w:b/>
        </w:rPr>
        <w:t xml:space="preserve">Graphic Designer</w:t>
      </w:r>
      <w:r>
        <w:t xml:space="preserve"> </w:t>
      </w:r>
      <w:r>
        <w:t xml:space="preserve">in the dynamic market of</w:t>
      </w:r>
      <w:r>
        <w:t xml:space="preserve"> </w:t>
      </w:r>
      <w:r>
        <w:rPr>
          <w:bCs/>
          <w:b/>
        </w:rPr>
        <w:t xml:space="preserve">Bogotá, Colombia</w:t>
      </w:r>
      <w:r>
        <w:t xml:space="preserve">. By following these guidelines, we aim to generate actionable insights that can improve design strategies and enhance cultural resonance in visual communications.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Bogotá, Colombia</dc:title>
  <dc:creator/>
  <dc:language>en</dc:language>
  <cp:keywords/>
  <dcterms:created xsi:type="dcterms:W3CDTF">2026-10-10T09:11:06Z</dcterms:created>
  <dcterms:modified xsi:type="dcterms:W3CDTF">2026-10-10T09:11:06Z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