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Workflow</w:t>
      </w:r>
      <w:r>
        <w:t xml:space="preserve"> </w:t>
      </w:r>
      <w:r>
        <w:t xml:space="preserve">Optimization</w:t>
      </w:r>
      <w:r>
        <w:t xml:space="preserve"> </w:t>
      </w:r>
      <w:r>
        <w:t xml:space="preserve">in</w:t>
      </w:r>
      <w:r>
        <w:t xml:space="preserve"> </w:t>
      </w:r>
      <w:r>
        <w:t xml:space="preserve">Auckland</w:t>
      </w:r>
    </w:p>
    <w:bookmarkStart w:id="20" w:name="X6d640e254127fe64bf98fb178f23c53e4e17a31"/>
    <w:p>
      <w:pPr>
        <w:pStyle w:val="Heading1"/>
      </w:pPr>
      <w:r>
        <w:t xml:space="preserve">Experiment Protocol: Enhancing Graphic Designer Productivity and Creativity in New Zealand Auckland</w:t>
      </w:r>
    </w:p>
    <w:p>
      <w:pPr>
        <w:pStyle w:val="FirstParagraph"/>
      </w:pPr>
      <w:r>
        <w:rPr>
          <w:bCs/>
          <w:b/>
        </w:rPr>
        <w:t xml:space="preserve">Protocol ID:</w:t>
      </w:r>
      <w:r>
        <w:t xml:space="preserve"> </w:t>
      </w:r>
      <w:r>
        <w:t xml:space="preserve">NZ-AKL-GD-2024-001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Auckland, New Zealand</w:t>
      </w:r>
    </w:p>
    <w:p>
      <w:pPr>
        <w:pStyle w:val="BodyText"/>
      </w:pPr>
      <w:r>
        <w:rPr>
          <w:bCs/>
          <w:b/>
        </w:rPr>
        <w:t xml:space="preserve">Prepared by:</w:t>
      </w:r>
      <w:r>
        <w:t xml:space="preserve"> </w:t>
      </w:r>
      <w:r>
        <w:t xml:space="preserve">Research and Design Innovation Team</w:t>
      </w:r>
    </w:p>
    <w:bookmarkEnd w:id="20"/>
    <w:bookmarkStart w:id="21" w:name="introduction"/>
    <w:p>
      <w:pPr>
        <w:pStyle w:val="Heading2"/>
      </w:pPr>
      <w:r>
        <w:t xml:space="preserve">1. Introduction</w:t>
      </w:r>
    </w:p>
    <w:p>
      <w:pPr>
        <w:pStyle w:val="FirstParagraph"/>
      </w:pPr>
      <w:r>
        <w:t xml:space="preserve">This Experiment Protocol outlines a structured approach to investigating the impact of environmental, technological, and collaborative factors on the productivity and creative output of Graphic Designers operating within the dynamic urban context of New Zealand Auckland. Auckland, as New Zealand’s largest city and a hub for creative industries, presents unique opportunities and challenges for design professionals. This protocol aims to systematically evaluate how specific interventions can enhance the workflow, well-being, and creative performance of Graphic Designers in this region.</w:t>
      </w:r>
    </w:p>
    <w:p>
      <w:pPr>
        <w:pStyle w:val="BodyText"/>
      </w:pPr>
      <w:r>
        <w:rPr>
          <w:bCs/>
          <w:b/>
        </w:rPr>
        <w:t xml:space="preserve">Objective:</w:t>
      </w:r>
      <w:r>
        <w:t xml:space="preserve"> </w:t>
      </w:r>
      <w:r>
        <w:t xml:space="preserve">To determine the most effective strategies for optimizing the working conditions and creative processes of Graphic Designers in Auckland, considering local cultural, environmental, and technological contexts.</w:t>
      </w:r>
    </w:p>
    <w:bookmarkEnd w:id="21"/>
    <w:bookmarkStart w:id="22" w:name="background-and-rationale"/>
    <w:p>
      <w:pPr>
        <w:pStyle w:val="Heading2"/>
      </w:pPr>
      <w:r>
        <w:t xml:space="preserve">2. Background and Rationale</w:t>
      </w:r>
    </w:p>
    <w:p>
      <w:pPr>
        <w:pStyle w:val="FirstParagraph"/>
      </w:pPr>
      <w:r>
        <w:t xml:space="preserve">The role of a Graphic Designer in New Zealand Auckland is increasingly pivotal in shaping visual communication across sectors such as marketing, branding, digital media, and public services. However, designers often face challenges related to time management, creative burnout, and adapting to rapidly evolving design tools and client expectations. Auckland’s multicultural environment, high cost of living, and competitive creative industry landscape further influence the working conditions of Graphic Designers.</w:t>
      </w:r>
    </w:p>
    <w:p>
      <w:pPr>
        <w:pStyle w:val="BodyText"/>
      </w:pPr>
      <w:r>
        <w:t xml:space="preserve">This experiment is grounded in the need to understand how targeted interventions—such as workspace design, collaborative tools, and flexible scheduling—can positively impact the productivity and creative satisfaction of Graphic Designers in Auckland. By focusing on this specific demographic and location, the study aims to provide actionable insights tailored to the unique characteristics of New Zealand’s largest city.</w:t>
      </w:r>
    </w:p>
    <w:bookmarkEnd w:id="22"/>
    <w:bookmarkStart w:id="23" w:name="hypothesis"/>
    <w:p>
      <w:pPr>
        <w:pStyle w:val="Heading2"/>
      </w:pPr>
      <w:r>
        <w:t xml:space="preserve">3. Hypothesis</w:t>
      </w:r>
    </w:p>
    <w:p>
      <w:pPr>
        <w:pStyle w:val="FirstParagraph"/>
      </w:pPr>
      <w:r>
        <w:t xml:space="preserve">The primary hypothesis of this experiment is that implementing structured environmental and technological interventions will significantly improve the productivity, creative output, and job satisfaction of Graphic Designers in New Zealand Auckland. Specifically, it is hypothesized that:</w:t>
      </w:r>
    </w:p>
    <w:p>
      <w:pPr>
        <w:numPr>
          <w:ilvl w:val="0"/>
          <w:numId w:val="1001"/>
        </w:numPr>
        <w:pStyle w:val="Compact"/>
      </w:pPr>
      <w:r>
        <w:t xml:space="preserve">Designers working in ergonomically optimized and aesthetically stimulating environments will demonstrate higher creative performance.</w:t>
      </w:r>
    </w:p>
    <w:p>
      <w:pPr>
        <w:numPr>
          <w:ilvl w:val="0"/>
          <w:numId w:val="1001"/>
        </w:numPr>
        <w:pStyle w:val="Compact"/>
      </w:pPr>
      <w:r>
        <w:t xml:space="preserve">The use of collaborative digital tools tailored to Auckland’s multicultural client base will enhance project efficiency and client satisfaction.</w:t>
      </w:r>
    </w:p>
    <w:p>
      <w:pPr>
        <w:numPr>
          <w:ilvl w:val="0"/>
          <w:numId w:val="1001"/>
        </w:numPr>
        <w:pStyle w:val="Compact"/>
      </w:pPr>
      <w:r>
        <w:t xml:space="preserve">Flexible work schedules aligned with Auckland’s lifestyle and cultural norms will reduce burnout and improve long-term creative sustainability.</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study will involve 60 professional Graphic Designers based in New Zealand Auckland, selected through stratified random sampling to ensure diversity in age, gender, ethnicity, and years of experience. Participants will be recruited from design agencies, freelance networks, and corporate design departments across Auckland.</w:t>
      </w:r>
    </w:p>
    <w:bookmarkEnd w:id="24"/>
    <w:bookmarkStart w:id="25" w:name="experimental-design"/>
    <w:p>
      <w:pPr>
        <w:pStyle w:val="Heading3"/>
      </w:pPr>
      <w:r>
        <w:t xml:space="preserve">4.2 Experimental Design</w:t>
      </w:r>
    </w:p>
    <w:p>
      <w:pPr>
        <w:pStyle w:val="FirstParagraph"/>
      </w:pPr>
      <w:r>
        <w:t xml:space="preserve">The experiment will employ a randomized controlled trial (RCT) design with three groups:</w:t>
      </w:r>
    </w:p>
    <w:p>
      <w:pPr>
        <w:numPr>
          <w:ilvl w:val="0"/>
          <w:numId w:val="1002"/>
        </w:numPr>
        <w:pStyle w:val="Compact"/>
      </w:pPr>
      <w:r>
        <w:rPr>
          <w:bCs/>
          <w:b/>
        </w:rPr>
        <w:t xml:space="preserve">Control Group:</w:t>
      </w:r>
      <w:r>
        <w:t xml:space="preserve"> </w:t>
      </w:r>
      <w:r>
        <w:t xml:space="preserve">Continues with standard working conditions and tools.</w:t>
      </w:r>
    </w:p>
    <w:p>
      <w:pPr>
        <w:numPr>
          <w:ilvl w:val="0"/>
          <w:numId w:val="1002"/>
        </w:numPr>
        <w:pStyle w:val="Compact"/>
      </w:pPr>
      <w:r>
        <w:rPr>
          <w:bCs/>
          <w:b/>
        </w:rPr>
        <w:t xml:space="preserve">Intervention Group A:</w:t>
      </w:r>
      <w:r>
        <w:t xml:space="preserve"> </w:t>
      </w:r>
      <w:r>
        <w:t xml:space="preserve">Receives ergonomic workspace upgrades and access to advanced design software.</w:t>
      </w:r>
    </w:p>
    <w:p>
      <w:pPr>
        <w:numPr>
          <w:ilvl w:val="0"/>
          <w:numId w:val="1002"/>
        </w:numPr>
        <w:pStyle w:val="Compact"/>
      </w:pPr>
      <w:r>
        <w:rPr>
          <w:bCs/>
          <w:b/>
        </w:rPr>
        <w:t xml:space="preserve">Intervention Group B:</w:t>
      </w:r>
      <w:r>
        <w:t xml:space="preserve"> </w:t>
      </w:r>
      <w:r>
        <w:t xml:space="preserve">Implements flexible scheduling and collaborative digital platforms tailored to Auckland’s multicultural context.</w:t>
      </w:r>
    </w:p>
    <w:bookmarkEnd w:id="25"/>
    <w:bookmarkStart w:id="26" w:name="procedures"/>
    <w:p>
      <w:pPr>
        <w:pStyle w:val="Heading3"/>
      </w:pPr>
      <w:r>
        <w:t xml:space="preserve">4.3 Procedures</w:t>
      </w:r>
    </w:p>
    <w:p>
      <w:pPr>
        <w:pStyle w:val="FirstParagraph"/>
      </w:pPr>
      <w:r>
        <w:t xml:space="preserve">The experiment will run for 12 weeks, with data collected at baseline, mid-point, and post-intervention. Key procedures include:</w:t>
      </w:r>
    </w:p>
    <w:p>
      <w:pPr>
        <w:numPr>
          <w:ilvl w:val="0"/>
          <w:numId w:val="1003"/>
        </w:numPr>
        <w:pStyle w:val="Compact"/>
      </w:pPr>
      <w:r>
        <w:t xml:space="preserve">Baseline assessment of productivity, creativity, and job satisfaction using validated surveys and performance metrics.</w:t>
      </w:r>
    </w:p>
    <w:p>
      <w:pPr>
        <w:numPr>
          <w:ilvl w:val="0"/>
          <w:numId w:val="1003"/>
        </w:numPr>
        <w:pStyle w:val="Compact"/>
      </w:pPr>
      <w:r>
        <w:t xml:space="preserve">Implementation of interventions for Groups A and B, with regular monitoring and support.</w:t>
      </w:r>
    </w:p>
    <w:p>
      <w:pPr>
        <w:numPr>
          <w:ilvl w:val="0"/>
          <w:numId w:val="1003"/>
        </w:numPr>
        <w:pStyle w:val="Compact"/>
      </w:pPr>
      <w:r>
        <w:t xml:space="preserve">Weekly tracking of project completion rates, client feedback, and self-reported well-being.</w:t>
      </w:r>
    </w:p>
    <w:p>
      <w:pPr>
        <w:numPr>
          <w:ilvl w:val="0"/>
          <w:numId w:val="1003"/>
        </w:numPr>
        <w:pStyle w:val="Compact"/>
      </w:pPr>
      <w:r>
        <w:t xml:space="preserve">Post-intervention evaluation comparing outcomes across all groups.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through a combination of quantitative and qualitative methods:</w:t>
      </w:r>
    </w:p>
    <w:p>
      <w:pPr>
        <w:numPr>
          <w:ilvl w:val="0"/>
          <w:numId w:val="1004"/>
        </w:numPr>
        <w:pStyle w:val="Compact"/>
      </w:pPr>
      <w:r>
        <w:rPr>
          <w:bCs/>
          <w:b/>
        </w:rPr>
        <w:t xml:space="preserve">Quantitative:</w:t>
      </w:r>
      <w:r>
        <w:t xml:space="preserve"> </w:t>
      </w:r>
      <w:r>
        <w:t xml:space="preserve">Surveys measuring productivity, creativity, and job satisfaction; performance metrics such as project turnaround times and error rates.</w:t>
      </w:r>
    </w:p>
    <w:p>
      <w:pPr>
        <w:numPr>
          <w:ilvl w:val="0"/>
          <w:numId w:val="1004"/>
        </w:numPr>
        <w:pStyle w:val="Compact"/>
      </w:pPr>
      <w:r>
        <w:rPr>
          <w:bCs/>
          <w:b/>
        </w:rPr>
        <w:t xml:space="preserve">Qualitative:</w:t>
      </w:r>
      <w:r>
        <w:t xml:space="preserve"> </w:t>
      </w:r>
      <w:r>
        <w:t xml:space="preserve">Semi-structured interviews and focus groups to explore participants’ experiences and perceptions of the interventions.</w:t>
      </w:r>
    </w:p>
    <w:p>
      <w:pPr>
        <w:pStyle w:val="FirstParagraph"/>
      </w:pPr>
      <w:r>
        <w:t xml:space="preserve">Data analysis will involve statistical tests (e.g., ANOVA, regression analysis) to compare outcomes across groups, as well as thematic analysis of qualitative data to identify key insights. All data will be anonymized and stored securely in compliance with New Zealand’s Privacy Act 2020.</w:t>
      </w:r>
    </w:p>
    <w:bookmarkEnd w:id="28"/>
    <w:bookmarkStart w:id="29" w:name="ethical-considerations"/>
    <w:p>
      <w:pPr>
        <w:pStyle w:val="Heading2"/>
      </w:pPr>
      <w:r>
        <w:t xml:space="preserve">6. Ethical Considerations</w:t>
      </w:r>
    </w:p>
    <w:p>
      <w:pPr>
        <w:pStyle w:val="FirstParagraph"/>
      </w:pPr>
      <w:r>
        <w:t xml:space="preserve">This experiment will adhere to ethical guidelines set by the New Zealand Health and Disability Ethics Committee (HDEC) and local institutional review boards. Key ethical considerations include:</w:t>
      </w:r>
    </w:p>
    <w:p>
      <w:pPr>
        <w:numPr>
          <w:ilvl w:val="0"/>
          <w:numId w:val="1005"/>
        </w:numPr>
        <w:pStyle w:val="Compact"/>
      </w:pPr>
      <w:r>
        <w:t xml:space="preserve">Informed consent from all participants, with clear explanations of the study’s purpose, procedures, and risks.</w:t>
      </w:r>
    </w:p>
    <w:p>
      <w:pPr>
        <w:numPr>
          <w:ilvl w:val="0"/>
          <w:numId w:val="1005"/>
        </w:numPr>
        <w:pStyle w:val="Compact"/>
      </w:pPr>
      <w:r>
        <w:t xml:space="preserve">Voluntary participation with the right to withdraw at any time without penalty.</w:t>
      </w:r>
    </w:p>
    <w:p>
      <w:pPr>
        <w:numPr>
          <w:ilvl w:val="0"/>
          <w:numId w:val="1005"/>
        </w:numPr>
        <w:pStyle w:val="Compact"/>
      </w:pPr>
      <w:r>
        <w:t xml:space="preserve">Confidentiality and secure handling of all personal and professional data.</w:t>
      </w:r>
    </w:p>
    <w:p>
      <w:pPr>
        <w:numPr>
          <w:ilvl w:val="0"/>
          <w:numId w:val="1005"/>
        </w:numPr>
        <w:pStyle w:val="Compact"/>
      </w:pPr>
      <w:r>
        <w:t xml:space="preserve">Minimization of potential risks, such as stress or disruption to work routines.</w:t>
      </w:r>
    </w:p>
    <w:bookmarkEnd w:id="29"/>
    <w:bookmarkStart w:id="30" w:name="expected-outcomes-and-implications"/>
    <w:p>
      <w:pPr>
        <w:pStyle w:val="Heading2"/>
      </w:pPr>
      <w:r>
        <w:t xml:space="preserve">7. Expected Outcomes and Implications</w:t>
      </w:r>
    </w:p>
    <w:p>
      <w:pPr>
        <w:pStyle w:val="FirstParagraph"/>
      </w:pPr>
      <w:r>
        <w:t xml:space="preserve">This experiment aims to provide evidence-based recommendations for enhancing the working conditions and creative performance of Graphic Designers in New Zealand Auckland. Expected outcomes include:</w:t>
      </w:r>
    </w:p>
    <w:p>
      <w:pPr>
        <w:numPr>
          <w:ilvl w:val="0"/>
          <w:numId w:val="1006"/>
        </w:numPr>
        <w:pStyle w:val="Compact"/>
      </w:pPr>
      <w:r>
        <w:t xml:space="preserve">Identification of effective interventions for improving productivity and creativity.</w:t>
      </w:r>
    </w:p>
    <w:p>
      <w:pPr>
        <w:numPr>
          <w:ilvl w:val="0"/>
          <w:numId w:val="1006"/>
        </w:numPr>
        <w:pStyle w:val="Compact"/>
      </w:pPr>
      <w:r>
        <w:t xml:space="preserve">Insights into the role of cultural and environmental factors in design work.</w:t>
      </w:r>
    </w:p>
    <w:p>
      <w:pPr>
        <w:numPr>
          <w:ilvl w:val="0"/>
          <w:numId w:val="1006"/>
        </w:numPr>
        <w:pStyle w:val="Compact"/>
      </w:pPr>
      <w:r>
        <w:t xml:space="preserve">Guidelines for employers and policymakers to support the well-being and professional development of Graphic Designers in Auckland.</w:t>
      </w:r>
    </w:p>
    <w:p>
      <w:pPr>
        <w:pStyle w:val="FirstParagraph"/>
      </w:pPr>
      <w:r>
        <w:t xml:space="preserve">By focusing on the unique context of New Zealand Auckland, this study seeks to contribute to the broader understanding of how to foster a thriving creative industry in urban environments.</w:t>
      </w:r>
    </w:p>
    <w:bookmarkEnd w:id="30"/>
    <w:bookmarkStart w:id="31" w:name="conclusion"/>
    <w:p>
      <w:pPr>
        <w:pStyle w:val="Heading2"/>
      </w:pPr>
      <w:r>
        <w:t xml:space="preserve">8. Conclusion</w:t>
      </w:r>
    </w:p>
    <w:p>
      <w:pPr>
        <w:pStyle w:val="FirstParagraph"/>
      </w:pPr>
      <w:r>
        <w:t xml:space="preserve">This Experiment Protocol provides a comprehensive framework for investigating the factors that influence the productivity and creativity of Graphic Designers in New Zealand Auckland. By employing a rigorous and ethical research design, the study aims to generate valuable insights that can inform best practices for supporting design professionals in this vibrant and diverse city. The findings will not only benefit individual Graphic Designers but also contribute to the growth and sustainability of Auckland’s creative economy.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Workflow Optimization in Auckland</dc:title>
  <dc:creator/>
  <dc:language>en</dc:language>
  <cp:keywords/>
  <dcterms:created xsi:type="dcterms:W3CDTF">2026-10-10T05:10:41Z</dcterms:created>
  <dcterms:modified xsi:type="dcterms:W3CDTF">2026-10-10T05:10:41Z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