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Efficacy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2e64fb0ddfb03b1573ec49605ac1590ba0f453"/>
    <w:p>
      <w:pPr>
        <w:pStyle w:val="Heading1"/>
      </w:pPr>
      <w:r>
        <w:t xml:space="preserve">Experiment Protocol: Graphic Designer Efficacy in New Zealand Wellington</w:t>
      </w:r>
    </w:p>
    <w:p>
      <w:pPr>
        <w:pStyle w:val="FirstParagraph"/>
      </w:pPr>
      <w:r>
        <w:rPr>
          <w:bCs/>
          <w:b/>
        </w:rPr>
        <w:t xml:space="preserve">Document ID:</w:t>
      </w:r>
      <w:r>
        <w:t xml:space="preserve"> </w:t>
      </w:r>
      <w:r>
        <w:t xml:space="preserve">EXP-GD-WLG-2023-001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Wellington, New Zealand</w:t>
      </w:r>
    </w:p>
    <w:p>
      <w:pPr>
        <w:pStyle w:val="BodyText"/>
      </w:pPr>
      <w:r>
        <w:rPr>
          <w:bCs/>
          <w:b/>
        </w:rPr>
        <w:t xml:space="preserve">Subject:</w:t>
      </w:r>
      <w:r>
        <w:t xml:space="preserve"> </w:t>
      </w:r>
      <w:r>
        <w:t xml:space="preserve">Graphic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professional Graphic Designer interventions on brand perception within the unique cultural and economic landscape of New Zealand Wellington. Wellington, as the capital city of New Zealand, possesses a distinct creative identity characterized by a high density of startups, government agencies, and cultural institutions. The local market values authenticity, sustainability, and a blend of Māori and Pākehā cultural elements.</w:t>
      </w:r>
    </w:p>
    <w:p>
      <w:pPr>
        <w:pStyle w:val="BodyText"/>
      </w:pPr>
      <w:r>
        <w:t xml:space="preserve">The role of the Graphic Designer in this context is not merely aesthetic but strategic. This experiment aims to quantify how specific design strategies employed by a Graphic Designer influence consumer trust and engagement among Wellington residents. By isolating variables related to visual communication, we can determine the efficacy of design in driving measurable business outcomes in this specific geographic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effectiveness of culturally responsive design created by a Graphic Designer for Wellington-based audiences.</w:t>
      </w:r>
    </w:p>
    <w:p>
      <w:pPr>
        <w:numPr>
          <w:ilvl w:val="0"/>
          <w:numId w:val="1001"/>
        </w:numPr>
        <w:pStyle w:val="Compact"/>
      </w:pPr>
      <w:r>
        <w:t xml:space="preserve">To measure the correlation between design quality and user engagement metrics in digital and print media within New Zealand Wellington.</w:t>
      </w:r>
    </w:p>
    <w:p>
      <w:pPr>
        <w:numPr>
          <w:ilvl w:val="0"/>
          <w:numId w:val="1001"/>
        </w:numPr>
        <w:pStyle w:val="Compact"/>
      </w:pPr>
      <w:r>
        <w:t xml:space="preserve">To assess the impact of design consistency on brand recall among local consumers.</w:t>
      </w:r>
    </w:p>
    <w:p>
      <w:pPr>
        <w:numPr>
          <w:ilvl w:val="0"/>
          <w:numId w:val="1001"/>
        </w:numPr>
        <w:pStyle w:val="Compact"/>
      </w:pPr>
      <w:r>
        <w:t xml:space="preserve">To provide data-driven recommendations for businesses in Wellington seeking to optimize their visual identity through professional Graphic Designer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Participants will be divided into two groups: a control group exposed to generic, non-specialized design assets, and an experimental group exposed to assets created by a professional Graphic Designer specifically tailored to the New Zealand Wellington market.</w:t>
      </w:r>
    </w:p>
    <w:bookmarkEnd w:id="23"/>
    <w:bookmarkStart w:id="24" w:name="participants"/>
    <w:p>
      <w:pPr>
        <w:pStyle w:val="Heading3"/>
      </w:pPr>
      <w:r>
        <w:t xml:space="preserve">3.2 Participants</w:t>
      </w:r>
    </w:p>
    <w:p>
      <w:pPr>
        <w:pStyle w:val="FirstParagraph"/>
      </w:pPr>
      <w:r>
        <w:t xml:space="preserve">The target population consists of residents of Wellington, New Zealand, aged 18 to 65. A sample size of 500 participants will be recruited to ensure statistical significance. Recruitment will be conducted through local community centers, universities, and digital platforms popular in Wellington. Participants will be screened to ensure they have no prior affiliation with the test brands.</w:t>
      </w:r>
    </w:p>
    <w:bookmarkEnd w:id="24"/>
    <w:bookmarkStart w:id="25" w:name="materials"/>
    <w:p>
      <w:pPr>
        <w:pStyle w:val="Heading3"/>
      </w:pPr>
      <w:r>
        <w:t xml:space="preserve">3.3 Materials</w:t>
      </w:r>
    </w:p>
    <w:p>
      <w:pPr>
        <w:pStyle w:val="FirstParagraph"/>
      </w:pPr>
      <w:r>
        <w:t xml:space="preserve">The Graphic Designer will create two sets of marketing materials for a fictional sustainable coffee brand based in Wellington:</w:t>
      </w:r>
    </w:p>
    <w:p>
      <w:pPr>
        <w:numPr>
          <w:ilvl w:val="0"/>
          <w:numId w:val="1002"/>
        </w:numPr>
        <w:pStyle w:val="Compact"/>
      </w:pPr>
      <w:r>
        <w:rPr>
          <w:bCs/>
          <w:b/>
        </w:rPr>
        <w:t xml:space="preserve">Control Set:</w:t>
      </w:r>
      <w:r>
        <w:t xml:space="preserve"> </w:t>
      </w:r>
      <w:r>
        <w:t xml:space="preserve">Generic templates with standard fonts and colors, lacking local cultural references.</w:t>
      </w:r>
    </w:p>
    <w:p>
      <w:pPr>
        <w:numPr>
          <w:ilvl w:val="0"/>
          <w:numId w:val="1002"/>
        </w:numPr>
        <w:pStyle w:val="Compact"/>
      </w:pPr>
      <w:r>
        <w:rPr>
          <w:bCs/>
          <w:b/>
        </w:rPr>
        <w:t xml:space="preserve">Experimental Set:</w:t>
      </w:r>
      <w:r>
        <w:t xml:space="preserve"> </w:t>
      </w:r>
      <w:r>
        <w:t xml:space="preserve">Custom-designed assets incorporating Wellington-specific imagery, typography that reflects the city's creative vibe, and subtle integration of Māori design principles where appropriate.</w:t>
      </w:r>
    </w:p>
    <w:bookmarkEnd w:id="25"/>
    <w:bookmarkEnd w:id="26"/>
    <w:bookmarkStart w:id="27" w:name="procedure"/>
    <w:p>
      <w:pPr>
        <w:pStyle w:val="Heading2"/>
      </w:pPr>
      <w:r>
        <w:t xml:space="preserve">4. Procedure</w:t>
      </w:r>
    </w:p>
    <w:p>
      <w:pPr>
        <w:pStyle w:val="FirstParagraph"/>
      </w:pPr>
      <w:r>
        <w:t xml:space="preserve">The experiment will be conducted over a period of four weeks. Participants will be randomly assigned to view either the control or experimental design sets. They will be asked to complete a survey assessing their perception of the brand's trustworthiness, appeal, and likelihood to purchase. Additionally, eye-tracking technology will be used in a subset of the study to analyze visual attention patterns.</w:t>
      </w:r>
    </w:p>
    <w:p>
      <w:pPr>
        <w:pStyle w:val="BodyText"/>
      </w:pPr>
      <w:r>
        <w:t xml:space="preserve">Data collection will occur both online and in physical locations across Wellington, including the CBD and surrounding suburbs, to capture a diverse range of consumer behaviors. The Graphic Designer will be involved in the initial creation of materials and will review the data to provide insights into how specific design choices influenced participant responses.</w:t>
      </w:r>
    </w:p>
    <w:bookmarkEnd w:id="27"/>
    <w:bookmarkStart w:id="28" w:name="data-analysis"/>
    <w:p>
      <w:pPr>
        <w:pStyle w:val="Heading2"/>
      </w:pPr>
      <w:r>
        <w:t xml:space="preserve">5. Data Analysis</w:t>
      </w:r>
    </w:p>
    <w:p>
      <w:pPr>
        <w:pStyle w:val="FirstParagraph"/>
      </w:pPr>
      <w:r>
        <w:t xml:space="preserve">Quantitative data from surveys and eye-tracking will be analyzed using statistical software. Key metrics will include brand recall rates, engagement scores, and conversion intent. Qualitative feedback will be coded to identify themes related to cultural relevance and aesthetic preference. The analysis will focus on comparing the performance of the Graphic Designer's work against the control set to determine the added value of professional design in the Wellington market.</w:t>
      </w:r>
    </w:p>
    <w:bookmarkEnd w:id="28"/>
    <w:bookmarkStart w:id="29" w:name="ethical-considerations"/>
    <w:p>
      <w:pPr>
        <w:pStyle w:val="Heading2"/>
      </w:pPr>
      <w:r>
        <w:t xml:space="preserve">6. Ethical Considerations</w:t>
      </w:r>
    </w:p>
    <w:p>
      <w:pPr>
        <w:pStyle w:val="FirstParagraph"/>
      </w:pPr>
      <w:r>
        <w:t xml:space="preserve">This experiment adheres to the ethical guidelines set forth by the New Zealand Health and Disability Ethics Committee (HDEC) and local university review boards. Informed consent will be obtained from all participants, and data will be anonymized to protect privacy. The study respects cultural protocols (tikanga Māori) by ensuring that any use of Māori design elements is done with appropriate consultation and respect.</w:t>
      </w:r>
    </w:p>
    <w:bookmarkEnd w:id="29"/>
    <w:bookmarkStart w:id="30" w:name="expected-outcomes"/>
    <w:p>
      <w:pPr>
        <w:pStyle w:val="Heading2"/>
      </w:pPr>
      <w:r>
        <w:t xml:space="preserve">7. Expected Outcomes</w:t>
      </w:r>
    </w:p>
    <w:p>
      <w:pPr>
        <w:pStyle w:val="FirstParagraph"/>
      </w:pPr>
      <w:r>
        <w:t xml:space="preserve">We anticipate that the experimental group exposed to the Graphic Designer's culturally tailored materials will demonstrate significantly higher brand trust and engagement compared to the control group. This experiment aims to validate the importance of investing in professional design services for businesses operating in New Zealand Wellington, highlighting the role of the Graphic Designer as a key driver of commercial success.</w:t>
      </w:r>
    </w:p>
    <w:bookmarkEnd w:id="30"/>
    <w:bookmarkStart w:id="31" w:name="conclusion"/>
    <w:p>
      <w:pPr>
        <w:pStyle w:val="Heading2"/>
      </w:pPr>
      <w:r>
        <w:t xml:space="preserve">8. Conclusion</w:t>
      </w:r>
    </w:p>
    <w:p>
      <w:pPr>
        <w:pStyle w:val="FirstParagraph"/>
      </w:pPr>
      <w:r>
        <w:t xml:space="preserve">This Experiment Protocol provides a structured approach to understanding the impact of Graphic Designer interventions in a specific geographic and cultural context. By focusing on New Zealand Wellington, the study offers valuable insights into how design can be leveraged to connect with local audiences and achieve business objectives. The findings will contribute to the broader discourse on the value of design in the modern economy.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Efficacy in New Zealand Wellington</dc:title>
  <dc:creator/>
  <dc:language>en</dc:language>
  <cp:keywords/>
  <dcterms:created xsi:type="dcterms:W3CDTF">2026-10-10T05:09:33Z</dcterms:created>
  <dcterms:modified xsi:type="dcterms:W3CDTF">2026-10-10T05:09:33Z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