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Abu</w:t>
      </w:r>
      <w:r>
        <w:t xml:space="preserve"> </w:t>
      </w:r>
      <w:r>
        <w:t xml:space="preserve">Dhabi</w:t>
      </w:r>
    </w:p>
    <w:bookmarkStart w:id="20" w:name="X46953bf90657bd91e6df9fa8f07339ecf2404b9"/>
    <w:p>
      <w:pPr>
        <w:pStyle w:val="Heading1"/>
      </w:pPr>
      <w:r>
        <w:t xml:space="preserve">Experiment Protocol: Graphic Designer Performance Assessment</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creativity, and technical proficiency of Graphic Designers operating within the dynamic market of Abu Dhabi, United Arab Emirates. The primary objective is to evaluate how effectively Graphic Designers can adapt their visual communication strategies to meet the cultural, regulatory, and aesthetic expectations of the Abu Dhabi market.</w:t>
      </w:r>
    </w:p>
    <w:p>
      <w:pPr>
        <w:pStyle w:val="BodyText"/>
      </w:pPr>
      <w:r>
        <w:t xml:space="preserve">The experiment aims to provide actionable insights into the capabilities of Graphic Designers in creating compelling visual content that aligns with the vision of Abu Dhabi as a global hub for culture, business, and innovation.</w:t>
      </w:r>
    </w:p>
    <w:bookmarkEnd w:id="21"/>
    <w:bookmarkStart w:id="22" w:name="scope-and-context"/>
    <w:p>
      <w:pPr>
        <w:pStyle w:val="Heading2"/>
      </w:pPr>
      <w:r>
        <w:t xml:space="preserve">2. Scope and Context</w:t>
      </w:r>
    </w:p>
    <w:p>
      <w:pPr>
        <w:pStyle w:val="FirstParagraph"/>
      </w:pPr>
      <w:r>
        <w:t xml:space="preserve">The scope of this experiment is limited to Graphic Designers based in or serving the Abu Dhabi region. The context includes various industries such as tourism, real estate, technology, and government sectors, which are prominent in Abu Dhabi.</w:t>
      </w:r>
    </w:p>
    <w:p>
      <w:pPr>
        <w:pStyle w:val="BodyText"/>
      </w:pPr>
      <w:r>
        <w:rPr>
          <w:bCs/>
          <w:b/>
        </w:rPr>
        <w:t xml:space="preserve">Key Focus Areas:</w:t>
      </w:r>
    </w:p>
    <w:p>
      <w:pPr>
        <w:numPr>
          <w:ilvl w:val="0"/>
          <w:numId w:val="1001"/>
        </w:numPr>
        <w:pStyle w:val="Compact"/>
      </w:pPr>
      <w:r>
        <w:t xml:space="preserve">Cultural sensitivity and appropriateness in design</w:t>
      </w:r>
    </w:p>
    <w:p>
      <w:pPr>
        <w:numPr>
          <w:ilvl w:val="0"/>
          <w:numId w:val="1001"/>
        </w:numPr>
        <w:pStyle w:val="Compact"/>
      </w:pPr>
      <w:r>
        <w:t xml:space="preserve">Compliance with local regulations and standards</w:t>
      </w:r>
    </w:p>
    <w:p>
      <w:pPr>
        <w:numPr>
          <w:ilvl w:val="0"/>
          <w:numId w:val="1001"/>
        </w:numPr>
        <w:pStyle w:val="Compact"/>
      </w:pPr>
      <w:r>
        <w:t xml:space="preserve">Technical proficiency in design software and tools</w:t>
      </w:r>
    </w:p>
    <w:p>
      <w:pPr>
        <w:numPr>
          <w:ilvl w:val="0"/>
          <w:numId w:val="1001"/>
        </w:numPr>
        <w:pStyle w:val="Compact"/>
      </w:pPr>
      <w:r>
        <w:t xml:space="preserve">Creativity and innovation in visual storytelling</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Graphic Designers with at least two years of professional experience in the United Arab Emirates, specifically in Abu Dhabi. A diverse group of designers will be selected to ensure a comprehensive assessment.</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Phase 1: Briefing and Task Assignment</w:t>
      </w:r>
      <w:r>
        <w:t xml:space="preserve"> </w:t>
      </w:r>
      <w:r>
        <w:t xml:space="preserve">- Participants will receive a detailed design brief reflecting a real-world scenario in Abu Dhabi.</w:t>
      </w:r>
    </w:p>
    <w:p>
      <w:pPr>
        <w:numPr>
          <w:ilvl w:val="0"/>
          <w:numId w:val="1002"/>
        </w:numPr>
        <w:pStyle w:val="Compact"/>
      </w:pPr>
      <w:r>
        <w:rPr>
          <w:bCs/>
          <w:b/>
        </w:rPr>
        <w:t xml:space="preserve">Phase 2: Design Execution</w:t>
      </w:r>
      <w:r>
        <w:t xml:space="preserve"> </w:t>
      </w:r>
      <w:r>
        <w:t xml:space="preserve">- Participants will have a set timeframe to complete the design task.</w:t>
      </w:r>
    </w:p>
    <w:p>
      <w:pPr>
        <w:numPr>
          <w:ilvl w:val="0"/>
          <w:numId w:val="1002"/>
        </w:numPr>
        <w:pStyle w:val="Compact"/>
      </w:pPr>
      <w:r>
        <w:rPr>
          <w:bCs/>
          <w:b/>
        </w:rPr>
        <w:t xml:space="preserve">Phase 3: Evaluation and Feedback</w:t>
      </w:r>
      <w:r>
        <w:t xml:space="preserve"> </w:t>
      </w:r>
      <w:r>
        <w:t xml:space="preserve">- Completed designs will be evaluated by a panel of experts based on predefined criteria.</w:t>
      </w:r>
    </w:p>
    <w:bookmarkEnd w:id="24"/>
    <w:bookmarkStart w:id="25" w:name="design-brief"/>
    <w:p>
      <w:pPr>
        <w:pStyle w:val="Heading3"/>
      </w:pPr>
      <w:r>
        <w:t xml:space="preserve">3.3 Design Brief</w:t>
      </w:r>
    </w:p>
    <w:p>
      <w:pPr>
        <w:pStyle w:val="FirstParagraph"/>
      </w:pPr>
      <w:r>
        <w:t xml:space="preserve">The design brief will require participants to create a visual campaign for a hypothetical cultural event in Abu Dhabi. The campaign must include:</w:t>
      </w:r>
    </w:p>
    <w:p>
      <w:pPr>
        <w:numPr>
          <w:ilvl w:val="0"/>
          <w:numId w:val="1003"/>
        </w:numPr>
        <w:pStyle w:val="Compact"/>
      </w:pPr>
      <w:r>
        <w:t xml:space="preserve">A logo and brand identity</w:t>
      </w:r>
    </w:p>
    <w:p>
      <w:pPr>
        <w:numPr>
          <w:ilvl w:val="0"/>
          <w:numId w:val="1003"/>
        </w:numPr>
        <w:pStyle w:val="Compact"/>
      </w:pPr>
      <w:r>
        <w:t xml:space="preserve">Social media graphics</w:t>
      </w:r>
    </w:p>
    <w:p>
      <w:pPr>
        <w:numPr>
          <w:ilvl w:val="0"/>
          <w:numId w:val="1003"/>
        </w:numPr>
        <w:pStyle w:val="Compact"/>
      </w:pPr>
      <w:r>
        <w:t xml:space="preserve">Print materials (posters, brochures)</w:t>
      </w:r>
    </w:p>
    <w:p>
      <w:pPr>
        <w:numPr>
          <w:ilvl w:val="0"/>
          <w:numId w:val="1003"/>
        </w:numPr>
        <w:pStyle w:val="Compact"/>
      </w:pPr>
      <w:r>
        <w:t xml:space="preserve">Digital advertisements</w:t>
      </w:r>
    </w:p>
    <w:p>
      <w:pPr>
        <w:pStyle w:val="FirstParagraph"/>
      </w:pPr>
      <w:r>
        <w:t xml:space="preserve">The brief will emphasize the need for cultural relevance, modern aesthetics, and alignment with Abu Dhabi's vision for cultural development.</w:t>
      </w:r>
    </w:p>
    <w:bookmarkEnd w:id="25"/>
    <w:bookmarkEnd w:id="26"/>
    <w:bookmarkStart w:id="27" w:name="evaluation-criteria"/>
    <w:p>
      <w:pPr>
        <w:pStyle w:val="Heading2"/>
      </w:pPr>
      <w:r>
        <w:t xml:space="preserve">4. Evaluation Criteria</w:t>
      </w:r>
    </w:p>
    <w:p>
      <w:pPr>
        <w:pStyle w:val="FirstParagraph"/>
      </w:pPr>
      <w:r>
        <w:t xml:space="preserve">Designs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Relevance</w:t>
            </w:r>
          </w:p>
        </w:tc>
        <w:tc>
          <w:tcPr/>
          <w:p>
            <w:pPr>
              <w:pStyle w:val="Compact"/>
              <w:jc w:val="left"/>
            </w:pPr>
            <w:r>
              <w:t xml:space="preserve">Appropriateness and sensitivity to local culture and values</w:t>
            </w:r>
          </w:p>
        </w:tc>
        <w:tc>
          <w:tcPr/>
          <w:p>
            <w:pPr>
              <w:pStyle w:val="Compact"/>
              <w:jc w:val="left"/>
            </w:pPr>
            <w:r>
              <w:t xml:space="preserve">25%</w:t>
            </w:r>
          </w:p>
        </w:tc>
      </w:tr>
      <w:tr>
        <w:tc>
          <w:tcPr/>
          <w:p>
            <w:pPr>
              <w:pStyle w:val="Compact"/>
              <w:jc w:val="left"/>
            </w:pPr>
            <w:r>
              <w:t xml:space="preserve">Creativity and Innovation</w:t>
            </w:r>
          </w:p>
        </w:tc>
        <w:tc>
          <w:tcPr/>
          <w:p>
            <w:pPr>
              <w:pStyle w:val="Compact"/>
              <w:jc w:val="left"/>
            </w:pPr>
            <w:r>
              <w:t xml:space="preserve">Originality and uniqueness of the design concepts</w:t>
            </w:r>
          </w:p>
        </w:tc>
        <w:tc>
          <w:tcPr/>
          <w:p>
            <w:pPr>
              <w:pStyle w:val="Compact"/>
              <w:jc w:val="left"/>
            </w:pPr>
            <w:r>
              <w:t xml:space="preserve">25%</w:t>
            </w:r>
          </w:p>
        </w:tc>
      </w:tr>
      <w:tr>
        <w:tc>
          <w:tcPr/>
          <w:p>
            <w:pPr>
              <w:pStyle w:val="Compact"/>
              <w:jc w:val="left"/>
            </w:pPr>
            <w:r>
              <w:t xml:space="preserve">Technical Proficiency</w:t>
            </w:r>
          </w:p>
        </w:tc>
        <w:tc>
          <w:tcPr/>
          <w:p>
            <w:pPr>
              <w:pStyle w:val="Compact"/>
              <w:jc w:val="left"/>
            </w:pPr>
            <w:r>
              <w:t xml:space="preserve">Quality of execution and use of design tools</w:t>
            </w:r>
          </w:p>
        </w:tc>
        <w:tc>
          <w:tcPr/>
          <w:p>
            <w:pPr>
              <w:pStyle w:val="Compact"/>
              <w:jc w:val="left"/>
            </w:pPr>
            <w:r>
              <w:t xml:space="preserve">20%</w:t>
            </w:r>
          </w:p>
        </w:tc>
      </w:tr>
      <w:tr>
        <w:tc>
          <w:tcPr/>
          <w:p>
            <w:pPr>
              <w:pStyle w:val="Compact"/>
              <w:jc w:val="left"/>
            </w:pPr>
            <w:r>
              <w:t xml:space="preserve">Brand Alignment</w:t>
            </w:r>
          </w:p>
        </w:tc>
        <w:tc>
          <w:tcPr/>
          <w:p>
            <w:pPr>
              <w:pStyle w:val="Compact"/>
              <w:jc w:val="left"/>
            </w:pPr>
            <w:r>
              <w:t xml:space="preserve">Consistency with the event's brand identity and Abu Dhabi's image</w:t>
            </w:r>
          </w:p>
        </w:tc>
        <w:tc>
          <w:tcPr/>
          <w:p>
            <w:pPr>
              <w:pStyle w:val="Compact"/>
              <w:jc w:val="left"/>
            </w:pPr>
            <w:r>
              <w:t xml:space="preserve">15%</w:t>
            </w:r>
          </w:p>
        </w:tc>
      </w:tr>
      <w:tr>
        <w:tc>
          <w:tcPr/>
          <w:p>
            <w:pPr>
              <w:pStyle w:val="Compact"/>
              <w:jc w:val="left"/>
            </w:pPr>
            <w:r>
              <w:t xml:space="preserve">Effectiveness</w:t>
            </w:r>
          </w:p>
        </w:tc>
        <w:tc>
          <w:tcPr/>
          <w:p>
            <w:pPr>
              <w:pStyle w:val="Compact"/>
              <w:jc w:val="left"/>
            </w:pPr>
            <w:r>
              <w:t xml:space="preserve">Clarity of message and potential impact on the target audience</w:t>
            </w:r>
          </w:p>
        </w:tc>
        <w:tc>
          <w:tcPr/>
          <w:p>
            <w:pPr>
              <w:pStyle w:val="Compact"/>
              <w:jc w:val="left"/>
            </w:pPr>
            <w:r>
              <w:t xml:space="preserve">15%</w:t>
            </w:r>
          </w:p>
        </w:tc>
      </w:tr>
    </w:tbl>
    <w:bookmarkEnd w:id="27"/>
    <w:bookmarkStart w:id="28" w:name="ethical-considerations"/>
    <w:p>
      <w:pPr>
        <w:pStyle w:val="Heading2"/>
      </w:pPr>
      <w:r>
        <w:t xml:space="preserve">5. Ethical Considerations</w:t>
      </w:r>
    </w:p>
    <w:p>
      <w:pPr>
        <w:pStyle w:val="FirstParagraph"/>
      </w:pPr>
      <w:r>
        <w:t xml:space="preserve">This experiment adheres to ethical standards in research and design. Participants will provide informed consent, and their work will be used solely for the purpose of this assessment. Confidentiality and intellectual property rights will be respected throughout the process.</w:t>
      </w:r>
    </w:p>
    <w:bookmarkEnd w:id="28"/>
    <w:bookmarkStart w:id="29" w:name="data-collection-and-analysis"/>
    <w:p>
      <w:pPr>
        <w:pStyle w:val="Heading2"/>
      </w:pPr>
      <w:r>
        <w:t xml:space="preserve">6. Data Collection and Analysis</w:t>
      </w:r>
    </w:p>
    <w:p>
      <w:pPr>
        <w:pStyle w:val="FirstParagraph"/>
      </w:pPr>
      <w:r>
        <w:t xml:space="preserve">Data will be collected through:</w:t>
      </w:r>
    </w:p>
    <w:p>
      <w:pPr>
        <w:numPr>
          <w:ilvl w:val="0"/>
          <w:numId w:val="1004"/>
        </w:numPr>
        <w:pStyle w:val="Compact"/>
      </w:pPr>
      <w:r>
        <w:t xml:space="preserve">Expert evaluations of submitted designs</w:t>
      </w:r>
    </w:p>
    <w:p>
      <w:pPr>
        <w:numPr>
          <w:ilvl w:val="0"/>
          <w:numId w:val="1004"/>
        </w:numPr>
        <w:pStyle w:val="Compact"/>
      </w:pPr>
      <w:r>
        <w:t xml:space="preserve">Participant feedback on the design process</w:t>
      </w:r>
    </w:p>
    <w:p>
      <w:pPr>
        <w:numPr>
          <w:ilvl w:val="0"/>
          <w:numId w:val="1004"/>
        </w:numPr>
        <w:pStyle w:val="Compact"/>
      </w:pPr>
      <w:r>
        <w:t xml:space="preserve">Quantitative scoring based on evaluation criteria</w:t>
      </w:r>
    </w:p>
    <w:p>
      <w:pPr>
        <w:pStyle w:val="FirstParagraph"/>
      </w:pPr>
      <w:r>
        <w:t xml:space="preserve">Data analysis will involve statistical methods to identify trends, strengths, and areas for improvement among Graphic Designers in Abu Dhabi.</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A comprehensive understanding of the current capabilities of Graphic Designers in Abu Dhabi</w:t>
      </w:r>
    </w:p>
    <w:p>
      <w:pPr>
        <w:numPr>
          <w:ilvl w:val="0"/>
          <w:numId w:val="1005"/>
        </w:numPr>
        <w:pStyle w:val="Compact"/>
      </w:pPr>
      <w:r>
        <w:t xml:space="preserve">Identification of best practices in culturally sensitive design</w:t>
      </w:r>
    </w:p>
    <w:p>
      <w:pPr>
        <w:numPr>
          <w:ilvl w:val="0"/>
          <w:numId w:val="1005"/>
        </w:numPr>
        <w:pStyle w:val="Compact"/>
      </w:pPr>
      <w:r>
        <w:t xml:space="preserve">Recommendations for training and development programs</w:t>
      </w:r>
    </w:p>
    <w:p>
      <w:pPr>
        <w:numPr>
          <w:ilvl w:val="0"/>
          <w:numId w:val="1005"/>
        </w:numPr>
        <w:pStyle w:val="Compact"/>
      </w:pPr>
      <w:r>
        <w:t xml:space="preserve">Enhanced standards for graphic design in the region</w:t>
      </w:r>
    </w:p>
    <w:bookmarkEnd w:id="30"/>
    <w:bookmarkStart w:id="31" w:name="conclusion"/>
    <w:p>
      <w:pPr>
        <w:pStyle w:val="Heading2"/>
      </w:pPr>
      <w:r>
        <w:t xml:space="preserve">8. Conclusion</w:t>
      </w:r>
    </w:p>
    <w:p>
      <w:pPr>
        <w:pStyle w:val="FirstParagraph"/>
      </w:pPr>
      <w:r>
        <w:t xml:space="preserve">This Experiment Protocol provides a structured approach to assessing the performance of Graphic Designers in Abu Dhabi, United Arab Emirates. By focusing on cultural relevance, creativity, and technical proficiency, the experiment aims to contribute to the growth and excellence of the graphic design industry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Abu Dhabi</dc:title>
  <dc:creator/>
  <dc:language>en</dc:language>
  <cp:keywords/>
  <dcterms:created xsi:type="dcterms:W3CDTF">2026-10-10T02:42:33Z</dcterms:created>
  <dcterms:modified xsi:type="dcterms:W3CDTF">2026-10-10T02:42:33Z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