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Cognitive</w:t>
      </w:r>
      <w:r>
        <w:t xml:space="preserve"> </w:t>
      </w:r>
      <w:r>
        <w:t xml:space="preserve">Load</w:t>
      </w:r>
      <w:r>
        <w:t xml:space="preserve"> </w:t>
      </w:r>
      <w:r>
        <w:t xml:space="preserve">and</w:t>
      </w:r>
      <w:r>
        <w:t xml:space="preserve"> </w:t>
      </w:r>
      <w:r>
        <w:t xml:space="preserve">Workflow</w:t>
      </w:r>
      <w:r>
        <w:t xml:space="preserve"> </w:t>
      </w:r>
      <w:r>
        <w:t xml:space="preserve">Efficiency</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Impact of AI-Assisted Tools on Creative Workflow Efficiency and Cognitive Load Among Professional Graphic Designers in Los Angeles, United States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[Institution/Organization Name]</w:t>
      </w:r>
    </w:p>
    <w:bookmarkEnd w:id="20"/>
    <w:p>
      <w:pPr>
        <w:pStyle w:val="BodyText"/>
      </w:pPr>
      <w:r>
        <w:t xml:space="preserve">1. Introduction and Background</w:t>
      </w:r>
    </w:p>
    <w:p>
      <w:pPr>
        <w:pStyle w:val="BodyText"/>
      </w:pPr>
      <w:r>
        <w:t xml:space="preserve">The field of graphic design is undergoing a significant transformation due to the integration of artificial intelligence (AI) and machine learning tools. In the United States, particularly in Los Angeles, a global hub for media, entertainment, and digital marketing, professional graphic designers face increasing demands for rapid turnaround times and high-volume creative output. This Experiment Protocol outlines a study designed to assess how AI-assisted design tools affect the workflow efficiency, creative satisfaction, and cognitive load of professional graphic designers operating within the Los Angeles market.</w:t>
      </w:r>
    </w:p>
    <w:p>
      <w:pPr>
        <w:pStyle w:val="BodyText"/>
      </w:pPr>
      <w:r>
        <w:t xml:space="preserve">Los Angeles presents a unique environment for this study due to its dense concentration of creative agencies, tech startups, and entertainment companies. Understanding the impact of these tools in this specific geographic and professional context is crucial for developing best practices and ethical guidelines for AI integration in creative industries.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time efficiency of graphic designers using AI-assisted tools compared to traditional methods.</w:t>
      </w:r>
    </w:p>
    <w:p>
      <w:pPr>
        <w:numPr>
          <w:ilvl w:val="0"/>
          <w:numId w:val="1001"/>
        </w:numPr>
        <w:pStyle w:val="Compact"/>
      </w:pPr>
      <w:r>
        <w:t xml:space="preserve">To assess the subjective cognitive load experienced by designers during complex creative tasks.</w:t>
      </w:r>
    </w:p>
    <w:p>
      <w:pPr>
        <w:numPr>
          <w:ilvl w:val="0"/>
          <w:numId w:val="1001"/>
        </w:numPr>
        <w:pStyle w:val="Compact"/>
      </w:pPr>
      <w:r>
        <w:t xml:space="preserve">To evaluate the perceived creative quality and originality of outputs generated with AI assistance.</w:t>
      </w:r>
    </w:p>
    <w:p>
      <w:pPr>
        <w:numPr>
          <w:ilvl w:val="0"/>
          <w:numId w:val="1001"/>
        </w:numPr>
        <w:pStyle w:val="Compact"/>
      </w:pPr>
      <w:r>
        <w:t xml:space="preserve">To identify potential ethical concerns and workflow disruptions specific to the Los Angeles creative industry.</w:t>
      </w:r>
    </w:p>
    <w:p>
      <w:pPr>
        <w:pStyle w:val="FirstParagraph"/>
      </w:pPr>
      <w:r>
        <w:t xml:space="preserve">3. Participants</w:t>
      </w:r>
    </w:p>
    <w:p>
      <w:pPr>
        <w:pStyle w:val="BodyText"/>
      </w:pPr>
      <w:r>
        <w:rPr>
          <w:bCs/>
          <w:b/>
        </w:rPr>
        <w:t xml:space="preserve">Target Population:</w:t>
      </w:r>
      <w:r>
        <w:t xml:space="preserve"> </w:t>
      </w:r>
      <w:r>
        <w:t xml:space="preserve">Professional graphic designers currently employed or freelancing in Los Angeles, United States.</w:t>
      </w:r>
    </w:p>
    <w:p>
      <w:pPr>
        <w:pStyle w:val="BodyText"/>
      </w:pPr>
      <w:r>
        <w:rPr>
          <w:bCs/>
          <w:b/>
        </w:rPr>
        <w:t xml:space="preserve">Inclusion Criteria:</w:t>
      </w:r>
    </w:p>
    <w:p>
      <w:pPr>
        <w:numPr>
          <w:ilvl w:val="0"/>
          <w:numId w:val="1002"/>
        </w:numPr>
        <w:pStyle w:val="Compact"/>
      </w:pPr>
      <w:r>
        <w:t xml:space="preserve">Minimum of 3 years of professional experience in graphic design.</w:t>
      </w:r>
    </w:p>
    <w:p>
      <w:pPr>
        <w:numPr>
          <w:ilvl w:val="0"/>
          <w:numId w:val="1002"/>
        </w:numPr>
        <w:pStyle w:val="Compact"/>
      </w:pPr>
      <w:r>
        <w:t xml:space="preserve">Current residence or primary work location within Los Angeles County.</w:t>
      </w:r>
    </w:p>
    <w:p>
      <w:pPr>
        <w:numPr>
          <w:ilvl w:val="0"/>
          <w:numId w:val="1002"/>
        </w:numPr>
        <w:pStyle w:val="Compact"/>
      </w:pPr>
      <w:r>
        <w:t xml:space="preserve">Proficiency in industry-standard software (e.g., Adobe Creative Suite).</w:t>
      </w:r>
    </w:p>
    <w:p>
      <w:pPr>
        <w:numPr>
          <w:ilvl w:val="0"/>
          <w:numId w:val="1002"/>
        </w:numPr>
        <w:pStyle w:val="Compact"/>
      </w:pPr>
      <w:r>
        <w:t xml:space="preserve">Age 18 or older.</w:t>
      </w:r>
    </w:p>
    <w:p>
      <w:pPr>
        <w:pStyle w:val="FirstParagraph"/>
      </w:pPr>
      <w:r>
        <w:rPr>
          <w:bCs/>
          <w:b/>
        </w:rPr>
        <w:t xml:space="preserve">Exclusion Criteria:</w:t>
      </w:r>
    </w:p>
    <w:p>
      <w:pPr>
        <w:numPr>
          <w:ilvl w:val="0"/>
          <w:numId w:val="1003"/>
        </w:numPr>
        <w:pStyle w:val="Compact"/>
      </w:pPr>
      <w:r>
        <w:t xml:space="preserve">Individuals with no prior experience in digital graphic design.</w:t>
      </w:r>
    </w:p>
    <w:p>
      <w:pPr>
        <w:numPr>
          <w:ilvl w:val="0"/>
          <w:numId w:val="1003"/>
        </w:numPr>
        <w:pStyle w:val="Compact"/>
      </w:pPr>
      <w:r>
        <w:t xml:space="preserve">Participants who are developers of the AI tools being tested.</w:t>
      </w:r>
    </w:p>
    <w:p>
      <w:pPr>
        <w:pStyle w:val="FirstParagraph"/>
      </w:pPr>
      <w:r>
        <w:rPr>
          <w:bCs/>
          <w:b/>
        </w:rPr>
        <w:t xml:space="preserve">Sample Size:</w:t>
      </w:r>
      <w:r>
        <w:t xml:space="preserve"> </w:t>
      </w:r>
      <w:r>
        <w:t xml:space="preserve">A minimum of 60 participants will be recruited to ensure statistical power, with stratification based on years of experience and industry sector (e.g., advertising, film, tech).</w:t>
      </w:r>
    </w:p>
    <w:p>
      <w:pPr>
        <w:pStyle w:val="BodyText"/>
      </w:pPr>
      <w:r>
        <w:t xml:space="preserve">4. Experimental Design</w:t>
      </w:r>
    </w:p>
    <w:p>
      <w:pPr>
        <w:pStyle w:val="BodyText"/>
      </w:pPr>
      <w:r>
        <w:t xml:space="preserve">This study will employ a within-subjects experimental design. Each participant will complete two design tasks:</w:t>
      </w:r>
    </w:p>
    <w:p>
      <w:pPr>
        <w:numPr>
          <w:ilvl w:val="0"/>
          <w:numId w:val="1004"/>
        </w:numPr>
        <w:pStyle w:val="Compact"/>
      </w:pPr>
      <w:r>
        <w:rPr>
          <w:bCs/>
          <w:b/>
        </w:rPr>
        <w:t xml:space="preserve">Control Condition:</w:t>
      </w:r>
      <w:r>
        <w:t xml:space="preserve"> </w:t>
      </w:r>
      <w:r>
        <w:t xml:space="preserve">Complete a design brief using only traditional software tools (e.g., Photoshop, Illustrator) without AI assistance.</w:t>
      </w:r>
    </w:p>
    <w:p>
      <w:pPr>
        <w:numPr>
          <w:ilvl w:val="0"/>
          <w:numId w:val="1004"/>
        </w:numPr>
        <w:pStyle w:val="Compact"/>
      </w:pPr>
      <w:r>
        <w:rPr>
          <w:bCs/>
          <w:b/>
        </w:rPr>
        <w:t xml:space="preserve">Experimental Condition:</w:t>
      </w:r>
      <w:r>
        <w:t xml:space="preserve"> </w:t>
      </w:r>
      <w:r>
        <w:t xml:space="preserve">Complete a similar design brief using AI-assisted tools (e.g., generative AI for image creation, automated layout suggestions).</w:t>
      </w:r>
    </w:p>
    <w:p>
      <w:pPr>
        <w:pStyle w:val="FirstParagraph"/>
      </w:pPr>
      <w:r>
        <w:t xml:space="preserve">The order of conditions will be counterbalanced across participants to control for learning effects. Both tasks will be conducted in a controlled laboratory setting in Los Angeles to minimize environmental distractions.</w:t>
      </w:r>
    </w:p>
    <w:p>
      <w:pPr>
        <w:pStyle w:val="BodyText"/>
      </w:pPr>
      <w:r>
        <w:t xml:space="preserve">5. Materials and Procedures</w:t>
      </w:r>
    </w:p>
    <w:p>
      <w:pPr>
        <w:pStyle w:val="BodyText"/>
      </w:pPr>
      <w:r>
        <w:rPr>
          <w:bCs/>
          <w:b/>
        </w:rPr>
        <w:t xml:space="preserve">Design Briefs:</w:t>
      </w:r>
      <w:r>
        <w:t xml:space="preserve"> </w:t>
      </w:r>
      <w:r>
        <w:t xml:space="preserve">Two standardized design briefs will be created, simulating real-world projects common in Los Angeles (e.g., a promotional poster for a local film festival, a social media campaign for a tech startup). The briefs will be matched for complexity and scope.</w:t>
      </w:r>
    </w:p>
    <w:p>
      <w:pPr>
        <w:pStyle w:val="BodyText"/>
      </w:pPr>
      <w:r>
        <w:rPr>
          <w:bCs/>
          <w:b/>
        </w:rPr>
        <w:t xml:space="preserve">Procedure:</w:t>
      </w:r>
    </w:p>
    <w:p>
      <w:pPr>
        <w:numPr>
          <w:ilvl w:val="0"/>
          <w:numId w:val="1005"/>
        </w:numPr>
        <w:pStyle w:val="Compact"/>
      </w:pPr>
      <w:r>
        <w:rPr>
          <w:bCs/>
          <w:b/>
        </w:rPr>
        <w:t xml:space="preserve">Consent:</w:t>
      </w:r>
      <w:r>
        <w:t xml:space="preserve"> </w:t>
      </w:r>
      <w:r>
        <w:t xml:space="preserve">Participants will provide informed consent, acknowledging the study's purpose, procedures, risks, and benefits, in compliance with United States ethical standards.</w:t>
      </w:r>
    </w:p>
    <w:p>
      <w:pPr>
        <w:numPr>
          <w:ilvl w:val="0"/>
          <w:numId w:val="1005"/>
        </w:numPr>
        <w:pStyle w:val="Compact"/>
      </w:pPr>
      <w:r>
        <w:rPr>
          <w:bCs/>
          <w:b/>
        </w:rPr>
        <w:t xml:space="preserve">Pre-Task Survey:</w:t>
      </w:r>
      <w:r>
        <w:t xml:space="preserve"> </w:t>
      </w:r>
      <w:r>
        <w:t xml:space="preserve">Participants will complete a baseline survey assessing their familiarity with AI tools and current workflow practices.</w:t>
      </w:r>
    </w:p>
    <w:p>
      <w:pPr>
        <w:numPr>
          <w:ilvl w:val="0"/>
          <w:numId w:val="1005"/>
        </w:numPr>
        <w:pStyle w:val="Compact"/>
      </w:pPr>
      <w:r>
        <w:rPr>
          <w:bCs/>
          <w:b/>
        </w:rPr>
        <w:t xml:space="preserve">Task Execution:</w:t>
      </w:r>
      <w:r>
        <w:t xml:space="preserve"> </w:t>
      </w:r>
      <w:r>
        <w:t xml:space="preserve">Participants will complete each design task within a 90-minute time limit. Screen recording and keystroke logging will be used to track workflow efficiency.</w:t>
      </w:r>
    </w:p>
    <w:p>
      <w:pPr>
        <w:numPr>
          <w:ilvl w:val="0"/>
          <w:numId w:val="1005"/>
        </w:numPr>
        <w:pStyle w:val="Compact"/>
      </w:pPr>
      <w:r>
        <w:rPr>
          <w:bCs/>
          <w:b/>
        </w:rPr>
        <w:t xml:space="preserve">Post-Task Measures:</w:t>
      </w:r>
      <w:r>
        <w:t xml:space="preserve"> </w:t>
      </w:r>
      <w:r>
        <w:t xml:space="preserve">After each task, participants will complete the NASA-TLX (Task Load Index) to measure cognitive load and a custom survey assessing creative satisfaction and perceived quality.</w:t>
      </w:r>
    </w:p>
    <w:p>
      <w:pPr>
        <w:numPr>
          <w:ilvl w:val="0"/>
          <w:numId w:val="1005"/>
        </w:numPr>
        <w:pStyle w:val="Compact"/>
      </w:pPr>
      <w:r>
        <w:rPr>
          <w:bCs/>
          <w:b/>
        </w:rPr>
        <w:t xml:space="preserve">Debriefing:</w:t>
      </w:r>
      <w:r>
        <w:t xml:space="preserve"> </w:t>
      </w:r>
      <w:r>
        <w:t xml:space="preserve">Participants will be debriefed on the study's objectives and provided with compensation ($75 USD) for their time.</w:t>
      </w:r>
    </w:p>
    <w:p>
      <w:pPr>
        <w:pStyle w:val="FirstParagraph"/>
      </w:pPr>
      <w:r>
        <w:t xml:space="preserve">6. Data Analysis</w:t>
      </w:r>
    </w:p>
    <w:p>
      <w:pPr>
        <w:pStyle w:val="BodyText"/>
      </w:pPr>
      <w:r>
        <w:t xml:space="preserve">Data will be analyzed using statistical software (e.g., SPSS or R). Key analyses will include:</w:t>
      </w:r>
    </w:p>
    <w:p>
      <w:pPr>
        <w:numPr>
          <w:ilvl w:val="0"/>
          <w:numId w:val="1006"/>
        </w:numPr>
        <w:pStyle w:val="Compact"/>
      </w:pPr>
      <w:r>
        <w:t xml:space="preserve">Paired t-tests to compare time efficiency and cognitive load scores between conditions.</w:t>
      </w:r>
    </w:p>
    <w:p>
      <w:pPr>
        <w:numPr>
          <w:ilvl w:val="0"/>
          <w:numId w:val="1006"/>
        </w:numPr>
        <w:pStyle w:val="Compact"/>
      </w:pPr>
      <w:r>
        <w:t xml:space="preserve">Qualitative analysis of open-ended survey responses to identify themes related to creative satisfaction and ethical concerns.</w:t>
      </w:r>
    </w:p>
    <w:p>
      <w:pPr>
        <w:numPr>
          <w:ilvl w:val="0"/>
          <w:numId w:val="1006"/>
        </w:numPr>
        <w:pStyle w:val="Compact"/>
      </w:pPr>
      <w:r>
        <w:t xml:space="preserve">Correlation analysis to explore relationships between years of experience, AI familiarity, and task performance.</w:t>
      </w:r>
    </w:p>
    <w:p>
      <w:pPr>
        <w:pStyle w:val="FirstParagraph"/>
      </w:pPr>
      <w:r>
        <w:t xml:space="preserve">7. Ethical Considerations</w:t>
      </w:r>
    </w:p>
    <w:p>
      <w:pPr>
        <w:pStyle w:val="BodyText"/>
      </w:pPr>
      <w:r>
        <w:t xml:space="preserve">This study will adhere to the ethical guidelines set forth by the American Psychological Association (APA) and relevant United States regulations. Informed consent will be obtained from all participants. Data will be anonymized and stored securely. Participants will be informed of their right to withdraw from the study at any time without penalty. Special attention will be given to addressing concerns about job displacement and intellectual property rights related to AI-generated content, which are particularly salient in the Los Angeles creative community.</w:t>
      </w:r>
    </w:p>
    <w:p>
      <w:pPr>
        <w:pStyle w:val="BodyText"/>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IRB Approval and Recruitment</w:t>
            </w:r>
          </w:p>
        </w:tc>
        <w:tc>
          <w:tcPr/>
          <w:p>
            <w:pPr>
              <w:pStyle w:val="Compact"/>
              <w:jc w:val="left"/>
            </w:pPr>
            <w:r>
              <w:t xml:space="preserve">4 weeks</w:t>
            </w:r>
          </w:p>
        </w:tc>
      </w:tr>
      <w:tr>
        <w:tc>
          <w:tcPr/>
          <w:p>
            <w:pPr>
              <w:pStyle w:val="Compact"/>
              <w:jc w:val="left"/>
            </w:pPr>
            <w:r>
              <w:t xml:space="preserve">Data Collection</w:t>
            </w:r>
          </w:p>
        </w:tc>
        <w:tc>
          <w:tcPr/>
          <w:p>
            <w:pPr>
              <w:pStyle w:val="Compact"/>
              <w:jc w:val="left"/>
            </w:pPr>
            <w:r>
              <w:t xml:space="preserve">8 weeks</w:t>
            </w:r>
          </w:p>
        </w:tc>
      </w:tr>
      <w:tr>
        <w:tc>
          <w:tcPr/>
          <w:p>
            <w:pPr>
              <w:pStyle w:val="Compact"/>
              <w:jc w:val="left"/>
            </w:pPr>
            <w:r>
              <w:t xml:space="preserve">Data Analysis</w:t>
            </w:r>
          </w:p>
        </w:tc>
        <w:tc>
          <w:tcPr/>
          <w:p>
            <w:pPr>
              <w:pStyle w:val="Compact"/>
              <w:jc w:val="left"/>
            </w:pPr>
            <w:r>
              <w:t xml:space="preserve">4 weeks</w:t>
            </w:r>
          </w:p>
        </w:tc>
      </w:tr>
      <w:tr>
        <w:tc>
          <w:tcPr/>
          <w:p>
            <w:pPr>
              <w:pStyle w:val="Compact"/>
              <w:jc w:val="left"/>
            </w:pPr>
            <w:r>
              <w:t xml:space="preserve">Report Writing and Dissemination</w:t>
            </w:r>
          </w:p>
        </w:tc>
        <w:tc>
          <w:tcPr/>
          <w:p>
            <w:pPr>
              <w:pStyle w:val="Compact"/>
              <w:jc w:val="left"/>
            </w:pPr>
            <w:r>
              <w:t xml:space="preserve">4 weeks</w:t>
            </w:r>
          </w:p>
        </w:tc>
      </w:tr>
    </w:tbl>
    <w:p>
      <w:pPr>
        <w:pStyle w:val="BodyText"/>
      </w:pPr>
      <w:r>
        <w:t xml:space="preserve">This Experiment Protocol is intended for research purposes only. All procedures will be conducted in accordance with applicable laws and ethical standards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Cognitive Load and Workflow Efficiency</dc:title>
  <dc:creator/>
  <dc:language>en</dc:language>
  <cp:keywords/>
  <dcterms:created xsi:type="dcterms:W3CDTF">2026-10-10T02:43:27Z</dcterms:created>
  <dcterms:modified xsi:type="dcterms:W3CDTF">2026-10-10T02:43:27Z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