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926ad1481648df75aaee3a60d90adc6074a8faa"/>
    <w:p>
      <w:pPr>
        <w:pStyle w:val="Heading1"/>
      </w:pPr>
      <w:r>
        <w:t xml:space="preserve">Experiment Protocol: Graphic Designer Workflow and Cultural Adaptation</w:t>
      </w:r>
    </w:p>
    <w:p>
      <w:pPr>
        <w:pStyle w:val="FirstParagraph"/>
      </w:pPr>
      <w:r>
        <w:rPr>
          <w:bCs/>
          <w:b/>
        </w:rPr>
        <w:t xml:space="preserve">Location:</w:t>
      </w:r>
      <w:r>
        <w:t xml:space="preserve"> </w:t>
      </w:r>
      <w:r>
        <w:t xml:space="preserve">Vietnam Ho Chi Minh City (HCMC)</w:t>
      </w:r>
    </w:p>
    <w:p>
      <w:pPr>
        <w:pStyle w:val="BodyText"/>
      </w:pPr>
      <w:r>
        <w:rPr>
          <w:bCs/>
          <w:b/>
        </w:rPr>
        <w:t xml:space="preserve">Subject Role:</w:t>
      </w:r>
      <w:r>
        <w:t xml:space="preserve"> </w:t>
      </w:r>
      <w:r>
        <w:t xml:space="preserve">Graphic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creative output, and cultural integration of a Graphic Designer operating within the dynamic market of Vietnam Ho Chi Minh City. The primary objective is to evaluate how local cultural nuances, market demands, and environmental factors in HCMC influence the design process and final deliverables.</w:t>
      </w:r>
    </w:p>
    <w:p>
      <w:pPr>
        <w:pStyle w:val="BodyText"/>
      </w:pPr>
      <w:r>
        <w:t xml:space="preserve">The study aims to determine the efficacy of specific design strategies when applied to the Vietnamese consumer base, focusing on visual communication, color theory, and typography preferences unique to the region.</w:t>
      </w:r>
    </w:p>
    <w:bookmarkEnd w:id="21"/>
    <w:bookmarkStart w:id="22" w:name="scope-and-context"/>
    <w:p>
      <w:pPr>
        <w:pStyle w:val="Heading2"/>
      </w:pPr>
      <w:r>
        <w:t xml:space="preserve">2. Scope and Context</w:t>
      </w:r>
    </w:p>
    <w:p>
      <w:pPr>
        <w:pStyle w:val="FirstParagraph"/>
      </w:pPr>
      <w:r>
        <w:t xml:space="preserve">The experiment is strictly confined to the metropolitan area of Vietnam Ho Chi Minh City. This location was selected due to its status as the economic hub of Vietnam, characterized by a high density of startups, multinational corporations, and a rapidly evolving digital landscape.</w:t>
      </w:r>
    </w:p>
    <w:p>
      <w:pPr>
        <w:pStyle w:val="BodyText"/>
      </w:pPr>
      <w:r>
        <w:t xml:space="preserve">The Graphic Designer subject will be tasked with creating visual assets for hypothetical local brands. The scope includes digital marketing materials, social media graphics, and brand identity elements. The protocol accounts for the specific technological infrastructure and internet connectivity standards prevalent in HCMC.</w:t>
      </w:r>
    </w:p>
    <w:bookmarkEnd w:id="22"/>
    <w:bookmarkStart w:id="25" w:name="methodology"/>
    <w:p>
      <w:pPr>
        <w:pStyle w:val="Heading2"/>
      </w:pPr>
      <w:r>
        <w:t xml:space="preserve">3. Methodology</w:t>
      </w:r>
    </w:p>
    <w:bookmarkStart w:id="23" w:name="subject-selection"/>
    <w:p>
      <w:pPr>
        <w:pStyle w:val="Heading3"/>
      </w:pPr>
      <w:r>
        <w:t xml:space="preserve">3.1 Subject Selection</w:t>
      </w:r>
    </w:p>
    <w:p>
      <w:pPr>
        <w:pStyle w:val="FirstParagraph"/>
      </w:pPr>
      <w:r>
        <w:t xml:space="preserve">The Graphic Designer must possess at least three years of professional experience. Ideally, the subject should have a foundational understanding of Vietnamese culture, though the experiment will test the limits of their adaptability without prior deep immersion.</w:t>
      </w:r>
    </w:p>
    <w:bookmarkEnd w:id="23"/>
    <w:bookmarkStart w:id="24" w:name="experimental-phases"/>
    <w:p>
      <w:pPr>
        <w:pStyle w:val="Heading3"/>
      </w:pPr>
      <w:r>
        <w:t xml:space="preserve">3.2 Experimental Phases</w:t>
      </w:r>
    </w:p>
    <w:p>
      <w:pPr>
        <w:pStyle w:val="FirstParagraph"/>
      </w:pPr>
      <w:r>
        <w:t xml:space="preserve">The experiment is divided into three distinct phases:</w:t>
      </w:r>
    </w:p>
    <w:p>
      <w:pPr>
        <w:numPr>
          <w:ilvl w:val="0"/>
          <w:numId w:val="1001"/>
        </w:numPr>
        <w:pStyle w:val="Compact"/>
      </w:pPr>
      <w:r>
        <w:rPr>
          <w:bCs/>
          <w:b/>
        </w:rPr>
        <w:t xml:space="preserve">Phase 1: Cultural Immersion and Briefing (Week 1-2):</w:t>
      </w:r>
      <w:r>
        <w:t xml:space="preserve"> </w:t>
      </w:r>
      <w:r>
        <w:t xml:space="preserve">The Graphic Designer will review local design trends in Vietnam Ho Chi Minh City. This includes analyzing successful campaigns by local agencies and understanding the visual language of the Vietnamese market.</w:t>
      </w:r>
    </w:p>
    <w:p>
      <w:pPr>
        <w:numPr>
          <w:ilvl w:val="0"/>
          <w:numId w:val="1001"/>
        </w:numPr>
        <w:pStyle w:val="Compact"/>
      </w:pPr>
      <w:r>
        <w:rPr>
          <w:bCs/>
          <w:b/>
        </w:rPr>
        <w:t xml:space="preserve">Phase 2: Execution and Iteration (Week 3-6):</w:t>
      </w:r>
      <w:r>
        <w:t xml:space="preserve"> </w:t>
      </w:r>
      <w:r>
        <w:t xml:space="preserve">The subject will execute three distinct design projects. Each project requires a specific focus on local relevance, such as using appropriate color symbolism (e.g., the significance of red and yellow in Vietnamese culture) and typography that supports both Latin and Vietnamese diacritics.</w:t>
      </w:r>
    </w:p>
    <w:p>
      <w:pPr>
        <w:numPr>
          <w:ilvl w:val="0"/>
          <w:numId w:val="1001"/>
        </w:numPr>
        <w:pStyle w:val="Compact"/>
      </w:pPr>
      <w:r>
        <w:rPr>
          <w:bCs/>
          <w:b/>
        </w:rPr>
        <w:t xml:space="preserve">Phase 3: Evaluation and Feedback (Week 7-8):</w:t>
      </w:r>
      <w:r>
        <w:t xml:space="preserve"> </w:t>
      </w:r>
      <w:r>
        <w:t xml:space="preserve">The designs will be presented to a focus group of local stakeholders in HCMC. Feedback will be collected regarding aesthetic appeal, cultural appropriateness, and commercial viability.</w:t>
      </w:r>
    </w:p>
    <w:bookmarkEnd w:id="24"/>
    <w:bookmarkEnd w:id="25"/>
    <w:bookmarkStart w:id="26" w:name="technical-requirements"/>
    <w:p>
      <w:pPr>
        <w:pStyle w:val="Heading2"/>
      </w:pPr>
      <w:r>
        <w:t xml:space="preserve">4. Technical Requirements</w:t>
      </w:r>
    </w:p>
    <w:p>
      <w:pPr>
        <w:pStyle w:val="FirstParagraph"/>
      </w:pPr>
      <w:r>
        <w:t xml:space="preserve">To ensure the experiment reflects real-world conditions in Vietnam Ho Chi Minh City, the following technical standards must be met:</w:t>
      </w:r>
    </w:p>
    <w:p>
      <w:pPr>
        <w:numPr>
          <w:ilvl w:val="0"/>
          <w:numId w:val="1002"/>
        </w:numPr>
        <w:pStyle w:val="Compact"/>
      </w:pPr>
      <w:r>
        <w:rPr>
          <w:bCs/>
          <w:b/>
        </w:rPr>
        <w:t xml:space="preserve">Software:</w:t>
      </w:r>
      <w:r>
        <w:t xml:space="preserve"> </w:t>
      </w:r>
      <w:r>
        <w:t xml:space="preserve">Industry-standard tools (Adobe Creative Cloud) must be used.</w:t>
      </w:r>
    </w:p>
    <w:p>
      <w:pPr>
        <w:numPr>
          <w:ilvl w:val="0"/>
          <w:numId w:val="1002"/>
        </w:numPr>
        <w:pStyle w:val="Compact"/>
      </w:pPr>
      <w:r>
        <w:rPr>
          <w:bCs/>
          <w:b/>
        </w:rPr>
        <w:t xml:space="preserve">Connectivity:</w:t>
      </w:r>
      <w:r>
        <w:t xml:space="preserve"> </w:t>
      </w:r>
      <w:r>
        <w:t xml:space="preserve">Work must be performed using standard broadband connections available in residential and commercial areas of HCMC to test workflow efficiency under typical local conditions.</w:t>
      </w:r>
    </w:p>
    <w:p>
      <w:pPr>
        <w:numPr>
          <w:ilvl w:val="0"/>
          <w:numId w:val="1002"/>
        </w:numPr>
        <w:pStyle w:val="Compact"/>
      </w:pPr>
      <w:r>
        <w:rPr>
          <w:bCs/>
          <w:b/>
        </w:rPr>
        <w:t xml:space="preserve">Hardware:</w:t>
      </w:r>
      <w:r>
        <w:t xml:space="preserve"> </w:t>
      </w:r>
      <w:r>
        <w:t xml:space="preserve">Standard professional-grade workstations.</w:t>
      </w:r>
    </w:p>
    <w:bookmarkEnd w:id="26"/>
    <w:bookmarkStart w:id="27" w:name="key-performance-indicators-kpis"/>
    <w:p>
      <w:pPr>
        <w:pStyle w:val="Heading2"/>
      </w:pPr>
      <w:r>
        <w:t xml:space="preserve">5. Key Performance Indicators (KPIs)</w:t>
      </w:r>
    </w:p>
    <w:p>
      <w:pPr>
        <w:pStyle w:val="FirstParagraph"/>
      </w:pPr>
      <w:r>
        <w:t xml:space="preserve">The success of the Graphic Designer will be measured against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Cultural Accuracy</w:t>
            </w:r>
          </w:p>
        </w:tc>
        <w:tc>
          <w:tcPr/>
          <w:p>
            <w:pPr>
              <w:pStyle w:val="Compact"/>
              <w:jc w:val="left"/>
            </w:pPr>
            <w:r>
              <w:t xml:space="preserve">Adherence to local cultural norms and avoidance of taboos.</w:t>
            </w:r>
          </w:p>
        </w:tc>
        <w:tc>
          <w:tcPr/>
          <w:p>
            <w:pPr>
              <w:pStyle w:val="Compact"/>
              <w:jc w:val="left"/>
            </w:pPr>
            <w:r>
              <w:t xml:space="preserve">95% Approval</w:t>
            </w:r>
          </w:p>
        </w:tc>
      </w:tr>
      <w:tr>
        <w:tc>
          <w:tcPr/>
          <w:p>
            <w:pPr>
              <w:pStyle w:val="Compact"/>
              <w:jc w:val="left"/>
            </w:pPr>
            <w:r>
              <w:t xml:space="preserve">Visual Engagement</w:t>
            </w:r>
          </w:p>
        </w:tc>
        <w:tc>
          <w:tcPr/>
          <w:p>
            <w:pPr>
              <w:pStyle w:val="Compact"/>
              <w:jc w:val="left"/>
            </w:pPr>
            <w:r>
              <w:t xml:space="preserve">Ability to capture attention in a crowded HCMC digital market.</w:t>
            </w:r>
          </w:p>
        </w:tc>
        <w:tc>
          <w:tcPr/>
          <w:p>
            <w:pPr>
              <w:pStyle w:val="Compact"/>
              <w:jc w:val="left"/>
            </w:pPr>
            <w:r>
              <w:t xml:space="preserve">Top 20% Ranking</w:t>
            </w:r>
          </w:p>
        </w:tc>
      </w:tr>
      <w:tr>
        <w:tc>
          <w:tcPr/>
          <w:p>
            <w:pPr>
              <w:pStyle w:val="Compact"/>
              <w:jc w:val="left"/>
            </w:pPr>
            <w:r>
              <w:t xml:space="preserve">Turnaround Time</w:t>
            </w:r>
          </w:p>
        </w:tc>
        <w:tc>
          <w:tcPr/>
          <w:p>
            <w:pPr>
              <w:pStyle w:val="Compact"/>
              <w:jc w:val="left"/>
            </w:pPr>
            <w:r>
              <w:t xml:space="preserve">Efficiency in delivering assets within the fast-paced local business environment.</w:t>
            </w:r>
          </w:p>
        </w:tc>
        <w:tc>
          <w:tcPr/>
          <w:p>
            <w:pPr>
              <w:pStyle w:val="Compact"/>
              <w:jc w:val="left"/>
            </w:pPr>
            <w:r>
              <w:t xml:space="preserve">Within 48 Hours</w:t>
            </w:r>
          </w:p>
        </w:tc>
      </w:tr>
      <w:tr>
        <w:tc>
          <w:tcPr/>
          <w:p>
            <w:pPr>
              <w:pStyle w:val="Compact"/>
              <w:jc w:val="left"/>
            </w:pPr>
            <w:r>
              <w:t xml:space="preserve">Typography Integrity</w:t>
            </w:r>
          </w:p>
        </w:tc>
        <w:tc>
          <w:tcPr/>
          <w:p>
            <w:pPr>
              <w:pStyle w:val="Compact"/>
              <w:jc w:val="left"/>
            </w:pPr>
            <w:r>
              <w:t xml:space="preserve">Correct rendering of Vietnamese characters and diacritics.</w:t>
            </w:r>
          </w:p>
        </w:tc>
        <w:tc>
          <w:tcPr/>
          <w:p>
            <w:pPr>
              <w:pStyle w:val="Compact"/>
              <w:jc w:val="left"/>
            </w:pPr>
            <w:r>
              <w:t xml:space="preserve">100% Accuracy</w:t>
            </w:r>
          </w:p>
        </w:tc>
      </w:tr>
    </w:tbl>
    <w:bookmarkEnd w:id="27"/>
    <w:bookmarkStart w:id="28" w:name="ethical-considerations-and-compliance"/>
    <w:p>
      <w:pPr>
        <w:pStyle w:val="Heading2"/>
      </w:pPr>
      <w:r>
        <w:t xml:space="preserve">6. Ethical Considerations and Compliance</w:t>
      </w:r>
    </w:p>
    <w:p>
      <w:pPr>
        <w:pStyle w:val="FirstParagraph"/>
      </w:pPr>
      <w:r>
        <w:t xml:space="preserve">The experiment must adhere to the intellectual property laws of Vietnam. All assets created during the experiment are the property of the research entity. The Graphic Designer must respect local cultural sensitivities, ensuring that no imagery or text is offensive to the Vietnamese population. Data privacy regarding the focus group participants in Vietnam Ho Chi Minh City must be strictly maintained in accordance with local regulations.</w:t>
      </w:r>
    </w:p>
    <w:bookmarkEnd w:id="28"/>
    <w:bookmarkStart w:id="29" w:name="risk-management"/>
    <w:p>
      <w:pPr>
        <w:pStyle w:val="Heading2"/>
      </w:pPr>
      <w:r>
        <w:t xml:space="preserve">7. Risk Management</w:t>
      </w:r>
    </w:p>
    <w:p>
      <w:pPr>
        <w:pStyle w:val="FirstParagraph"/>
      </w:pPr>
      <w:r>
        <w:t xml:space="preserve">Potential risks include misinterpretation of cultural symbols, which could lead to negative feedback. To mitigate this, the Graphic Designer will have access to a local cultural consultant. Additionally, technical issues related to internet stability in certain districts of HCMC may impact deadlines; therefore, buffer time is included in the schedule.</w:t>
      </w:r>
    </w:p>
    <w:bookmarkEnd w:id="29"/>
    <w:bookmarkStart w:id="30" w:name="conclusion"/>
    <w:p>
      <w:pPr>
        <w:pStyle w:val="Heading2"/>
      </w:pPr>
      <w:r>
        <w:t xml:space="preserve">8. Conclusion</w:t>
      </w:r>
    </w:p>
    <w:p>
      <w:pPr>
        <w:pStyle w:val="FirstParagraph"/>
      </w:pPr>
      <w:r>
        <w:t xml:space="preserve">This Experiment Protocol provides a structured approach to evaluating the capabilities of a Graphic Designer within the specific context of Vietnam Ho Chi Minh City. By focusing on cultural adaptation, technical proficiency, and market responsiveness, this study aims to generate actionable insights for design professionals operating in Southeast Asia.</w:t>
      </w:r>
    </w:p>
    <w:bookmarkEnd w:id="30"/>
    <w:p>
      <w:pPr>
        <w:pStyle w:val="BodyText"/>
      </w:pPr>
      <w:r>
        <w:t xml:space="preserve">Document prepared for internal research purposes only. Not for public distribution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Vietnam Ho Chi Minh City</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