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40430041951073429953bae53f65fb227837c47"/>
    <w:p>
      <w:pPr>
        <w:pStyle w:val="Heading1"/>
      </w:pPr>
      <w:r>
        <w:t xml:space="preserve">Experiment Protocol: Hairdresser Service Quality Assessment in New Zealand Auckland</w:t>
      </w:r>
    </w:p>
    <w:p>
      <w:pPr>
        <w:pStyle w:val="FirstParagraph"/>
      </w:pPr>
      <w:r>
        <w:rPr>
          <w:bCs/>
          <w:b/>
        </w:rPr>
        <w:t xml:space="preserve">Protocol ID:</w:t>
      </w:r>
      <w:r>
        <w:t xml:space="preserve"> </w:t>
      </w:r>
      <w:r>
        <w:t xml:space="preserve">NZ-AKL-HD-2024-001</w:t>
      </w:r>
    </w:p>
    <w:p>
      <w:pPr>
        <w:pStyle w:val="BodyText"/>
      </w:pPr>
      <w:r>
        <w:rPr>
          <w:bCs/>
          <w:b/>
        </w:rPr>
        <w:t xml:space="preserve">Date of Issue:</w:t>
      </w:r>
      <w:r>
        <w:t xml:space="preserve"> </w:t>
      </w:r>
      <w:r>
        <w:t xml:space="preserve">October 2024</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Hairdresser Service Quality and Client Satisfaction</w:t>
      </w:r>
    </w:p>
    <w:bookmarkStart w:id="20" w:name="introduction-and-background"/>
    <w:p>
      <w:pPr>
        <w:pStyle w:val="Heading2"/>
      </w:pPr>
      <w:r>
        <w:t xml:space="preserve">1. Introduction and Background</w:t>
      </w:r>
    </w:p>
    <w:p>
      <w:pPr>
        <w:pStyle w:val="FirstParagraph"/>
      </w:pPr>
      <w:r>
        <w:t xml:space="preserve">The beauty and personal care industry in New Zealand Auckland represents a significant economic sector, with numerous hairdressers operating across diverse neighborhoods. This Experiment Protocol outlines a structured approach to evaluating the quality of services provided by hairdressers in Auckland, focusing on technical skill, client communication, hygiene standards, and overall customer satisfaction.</w:t>
      </w:r>
    </w:p>
    <w:p>
      <w:pPr>
        <w:pStyle w:val="BodyText"/>
      </w:pPr>
      <w:r>
        <w:t xml:space="preserve">Auckland’s multicultural population presents unique challenges and opportunities for hairdressers, requiring adaptability to various hair types, cultural preferences, and service expectations. This protocol aims to establish standardized metrics for assessing hairdresser performance while respecting the diversity of the Auckland community.</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develop a comprehensive evaluation framework for hairdresser services in New Zealand Auckland.</w:t>
      </w:r>
    </w:p>
    <w:p>
      <w:pPr>
        <w:numPr>
          <w:ilvl w:val="0"/>
          <w:numId w:val="1001"/>
        </w:numPr>
        <w:pStyle w:val="Compact"/>
      </w:pPr>
      <w:r>
        <w:t xml:space="preserve">To assess technical competencies of hairdressers across different service categories (cutting, coloring, styling, treatments).</w:t>
      </w:r>
    </w:p>
    <w:p>
      <w:pPr>
        <w:numPr>
          <w:ilvl w:val="0"/>
          <w:numId w:val="1001"/>
        </w:numPr>
        <w:pStyle w:val="Compact"/>
      </w:pPr>
      <w:r>
        <w:t xml:space="preserve">To measure client satisfaction levels and identify areas for improvement.</w:t>
      </w:r>
    </w:p>
    <w:p>
      <w:pPr>
        <w:numPr>
          <w:ilvl w:val="0"/>
          <w:numId w:val="1001"/>
        </w:numPr>
        <w:pStyle w:val="Compact"/>
      </w:pPr>
      <w:r>
        <w:t xml:space="preserve">To evaluate compliance with New Zealand health and safety standards in hairdressing environments.</w:t>
      </w:r>
    </w:p>
    <w:p>
      <w:pPr>
        <w:numPr>
          <w:ilvl w:val="0"/>
          <w:numId w:val="1001"/>
        </w:numPr>
        <w:pStyle w:val="Compact"/>
      </w:pPr>
      <w:r>
        <w:t xml:space="preserve">To analyze the impact of cultural competence on service quality in Auckland’s diverse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assessments with qualitative feedback. The study will be conducted over a six-month period across selected hairdressing establishments in Auckland, including suburban, urban, and commercial areas.</w:t>
      </w:r>
    </w:p>
    <w:bookmarkEnd w:id="22"/>
    <w:bookmarkStart w:id="23" w:name="participant-selection"/>
    <w:p>
      <w:pPr>
        <w:pStyle w:val="Heading3"/>
      </w:pPr>
      <w:r>
        <w:t xml:space="preserve">3.2 Participant Selection</w:t>
      </w:r>
    </w:p>
    <w:p>
      <w:pPr>
        <w:pStyle w:val="FirstParagraph"/>
      </w:pPr>
      <w:r>
        <w:t xml:space="preserve">Hairdressers will be selected through stratified random sampling to ensure representation across:</w:t>
      </w:r>
    </w:p>
    <w:p>
      <w:pPr>
        <w:numPr>
          <w:ilvl w:val="0"/>
          <w:numId w:val="1002"/>
        </w:numPr>
        <w:pStyle w:val="Compact"/>
      </w:pPr>
      <w:r>
        <w:t xml:space="preserve">Experience levels (novice, intermediate, senior)</w:t>
      </w:r>
    </w:p>
    <w:p>
      <w:pPr>
        <w:numPr>
          <w:ilvl w:val="0"/>
          <w:numId w:val="1002"/>
        </w:numPr>
        <w:pStyle w:val="Compact"/>
      </w:pPr>
      <w:r>
        <w:t xml:space="preserve">Salon types (independent, chain, boutique)</w:t>
      </w:r>
    </w:p>
    <w:p>
      <w:pPr>
        <w:numPr>
          <w:ilvl w:val="0"/>
          <w:numId w:val="1002"/>
        </w:numPr>
        <w:pStyle w:val="Compact"/>
      </w:pPr>
      <w:r>
        <w:t xml:space="preserve">Geographic locations within Auckland (North Shore, CBD, South Auckland, West Auckland, East Auckland)</w:t>
      </w:r>
    </w:p>
    <w:p>
      <w:pPr>
        <w:pStyle w:val="FirstParagraph"/>
      </w:pPr>
      <w:r>
        <w:t xml:space="preserve">Client participants will be recruited from the customer base of selected hairdressers, with informed consent obtained prior to participation.</w:t>
      </w:r>
    </w:p>
    <w:bookmarkEnd w:id="23"/>
    <w:bookmarkStart w:id="24" w:name="data-collection-instruments"/>
    <w:p>
      <w:pPr>
        <w:pStyle w:val="Heading3"/>
      </w:pPr>
      <w:r>
        <w:t xml:space="preserve">3.3 Data Collection Instruments</w:t>
      </w:r>
    </w:p>
    <w:p>
      <w:pPr>
        <w:pStyle w:val="FirstParagraph"/>
      </w:pPr>
      <w:r>
        <w:t xml:space="preserve">The following instruments will be used:</w:t>
      </w:r>
    </w:p>
    <w:p>
      <w:pPr>
        <w:numPr>
          <w:ilvl w:val="0"/>
          <w:numId w:val="1003"/>
        </w:numPr>
        <w:pStyle w:val="Compact"/>
      </w:pPr>
      <w:r>
        <w:rPr>
          <w:bCs/>
          <w:b/>
        </w:rPr>
        <w:t xml:space="preserve">Technical Assessment Checklist:</w:t>
      </w:r>
      <w:r>
        <w:t xml:space="preserve"> </w:t>
      </w:r>
      <w:r>
        <w:t xml:space="preserve">Evaluates precision, technique, and adherence to best practices.</w:t>
      </w:r>
    </w:p>
    <w:p>
      <w:pPr>
        <w:numPr>
          <w:ilvl w:val="0"/>
          <w:numId w:val="1003"/>
        </w:numPr>
        <w:pStyle w:val="Compact"/>
      </w:pPr>
      <w:r>
        <w:rPr>
          <w:bCs/>
          <w:b/>
        </w:rPr>
        <w:t xml:space="preserve">Client Satisfaction Survey:</w:t>
      </w:r>
      <w:r>
        <w:t xml:space="preserve"> </w:t>
      </w:r>
      <w:r>
        <w:t xml:space="preserve">Measures perceived quality, value, and likelihood of return.</w:t>
      </w:r>
    </w:p>
    <w:p>
      <w:pPr>
        <w:numPr>
          <w:ilvl w:val="0"/>
          <w:numId w:val="1003"/>
        </w:numPr>
        <w:pStyle w:val="Compact"/>
      </w:pPr>
      <w:r>
        <w:rPr>
          <w:bCs/>
          <w:b/>
        </w:rPr>
        <w:t xml:space="preserve">Hygiene and Safety Audit:</w:t>
      </w:r>
      <w:r>
        <w:t xml:space="preserve"> </w:t>
      </w:r>
      <w:r>
        <w:t xml:space="preserve">Assesses compliance with New Zealand regulations.</w:t>
      </w:r>
    </w:p>
    <w:p>
      <w:pPr>
        <w:numPr>
          <w:ilvl w:val="0"/>
          <w:numId w:val="1003"/>
        </w:numPr>
        <w:pStyle w:val="Compact"/>
      </w:pPr>
      <w:r>
        <w:rPr>
          <w:bCs/>
          <w:b/>
        </w:rPr>
        <w:t xml:space="preserve">Interview Guide:</w:t>
      </w:r>
      <w:r>
        <w:t xml:space="preserve"> </w:t>
      </w:r>
      <w:r>
        <w:t xml:space="preserve">Semi-structured interviews with hairdressers and clients.</w:t>
      </w:r>
    </w:p>
    <w:bookmarkEnd w:id="24"/>
    <w:bookmarkEnd w:id="25"/>
    <w:bookmarkStart w:id="26" w:name="evaluation-criteria"/>
    <w:p>
      <w:pPr>
        <w:pStyle w:val="Heading2"/>
      </w:pPr>
      <w:r>
        <w:t xml:space="preserve">4. Evaluation Criteria</w:t>
      </w:r>
    </w:p>
    <w:p>
      <w:pPr>
        <w:pStyle w:val="FirstParagraph"/>
      </w:pPr>
      <w:r>
        <w:t xml:space="preserve">Hairdressers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Sub-criteria</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Precision, consistency, creativity, adaptability to hair type</w:t>
            </w:r>
          </w:p>
        </w:tc>
        <w:tc>
          <w:tcPr/>
          <w:p>
            <w:pPr>
              <w:pStyle w:val="Compact"/>
              <w:jc w:val="left"/>
            </w:pPr>
            <w:r>
              <w:t xml:space="preserve">35%</w:t>
            </w:r>
          </w:p>
        </w:tc>
      </w:tr>
      <w:tr>
        <w:tc>
          <w:tcPr/>
          <w:p>
            <w:pPr>
              <w:pStyle w:val="Compact"/>
              <w:jc w:val="left"/>
            </w:pPr>
            <w:r>
              <w:t xml:space="preserve">Client Communication</w:t>
            </w:r>
          </w:p>
        </w:tc>
        <w:tc>
          <w:tcPr/>
          <w:p>
            <w:pPr>
              <w:pStyle w:val="Compact"/>
              <w:jc w:val="left"/>
            </w:pPr>
            <w:r>
              <w:t xml:space="preserve">Consultation quality, active listening, expectation management</w:t>
            </w:r>
          </w:p>
        </w:tc>
        <w:tc>
          <w:tcPr/>
          <w:p>
            <w:pPr>
              <w:pStyle w:val="Compact"/>
              <w:jc w:val="left"/>
            </w:pPr>
            <w:r>
              <w:t xml:space="preserve">25%</w:t>
            </w:r>
          </w:p>
        </w:tc>
      </w:tr>
      <w:tr>
        <w:tc>
          <w:tcPr/>
          <w:p>
            <w:pPr>
              <w:pStyle w:val="Compact"/>
              <w:jc w:val="left"/>
            </w:pPr>
            <w:r>
              <w:t xml:space="preserve">Hygiene and Safety</w:t>
            </w:r>
          </w:p>
        </w:tc>
        <w:tc>
          <w:tcPr/>
          <w:p>
            <w:pPr>
              <w:pStyle w:val="Compact"/>
              <w:jc w:val="left"/>
            </w:pPr>
            <w:r>
              <w:t xml:space="preserve">Cleanliness, tool sterilization, chemical handling, compliance</w:t>
            </w:r>
          </w:p>
        </w:tc>
        <w:tc>
          <w:tcPr/>
          <w:p>
            <w:pPr>
              <w:pStyle w:val="Compact"/>
              <w:jc w:val="left"/>
            </w:pPr>
            <w:r>
              <w:t xml:space="preserve">20%</w:t>
            </w:r>
          </w:p>
        </w:tc>
      </w:tr>
      <w:tr>
        <w:tc>
          <w:tcPr/>
          <w:p>
            <w:pPr>
              <w:pStyle w:val="Compact"/>
              <w:jc w:val="left"/>
            </w:pPr>
            <w:r>
              <w:t xml:space="preserve">Professionalism</w:t>
            </w:r>
          </w:p>
        </w:tc>
        <w:tc>
          <w:tcPr/>
          <w:p>
            <w:pPr>
              <w:pStyle w:val="Compact"/>
              <w:jc w:val="left"/>
            </w:pPr>
            <w:r>
              <w:t xml:space="preserve">Punctuality, appearance, ethical conduct, continuing education</w:t>
            </w:r>
          </w:p>
        </w:tc>
        <w:tc>
          <w:tcPr/>
          <w:p>
            <w:pPr>
              <w:pStyle w:val="Compact"/>
              <w:jc w:val="left"/>
            </w:pPr>
            <w:r>
              <w:t xml:space="preserve">10%</w:t>
            </w:r>
          </w:p>
        </w:tc>
      </w:tr>
      <w:tr>
        <w:tc>
          <w:tcPr/>
          <w:p>
            <w:pPr>
              <w:pStyle w:val="Compact"/>
              <w:jc w:val="left"/>
            </w:pPr>
            <w:r>
              <w:t xml:space="preserve">Cultural Competence</w:t>
            </w:r>
          </w:p>
        </w:tc>
        <w:tc>
          <w:tcPr/>
          <w:p>
            <w:pPr>
              <w:pStyle w:val="Compact"/>
              <w:jc w:val="left"/>
            </w:pPr>
            <w:r>
              <w:t xml:space="preserve">Understanding of diverse hair types and cultural preferences</w:t>
            </w:r>
          </w:p>
        </w:tc>
        <w:tc>
          <w:tcPr/>
          <w:p>
            <w:pPr>
              <w:pStyle w:val="Compact"/>
              <w:jc w:val="left"/>
            </w:pPr>
            <w:r>
              <w:t xml:space="preserve">10%</w:t>
            </w:r>
          </w:p>
        </w:tc>
      </w:tr>
    </w:tbl>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Before data collection begins, all evaluators will undergo training to ensure consistency in assessment. Calibration sessions will be conducted using standardized scenarios to minimize inter-rater variability.</w:t>
      </w:r>
    </w:p>
    <w:bookmarkEnd w:id="27"/>
    <w:bookmarkStart w:id="28" w:name="data-collection-phase"/>
    <w:p>
      <w:pPr>
        <w:pStyle w:val="Heading3"/>
      </w:pPr>
      <w:r>
        <w:t xml:space="preserve">5.2 Data Collection Phase</w:t>
      </w:r>
    </w:p>
    <w:p>
      <w:pPr>
        <w:pStyle w:val="FirstParagraph"/>
      </w:pPr>
      <w:r>
        <w:t xml:space="preserve">Each participating hairdresser will be observed during a minimum of three client appointments. Observations will be conducted discreetly to avoid influencing natural behavior. Client surveys will be administered immediately following the service, and follow-up surveys will be sent two weeks later to assess lasting satisfaction.</w:t>
      </w:r>
    </w:p>
    <w:bookmarkEnd w:id="28"/>
    <w:bookmarkStart w:id="29" w:name="analysis-phase"/>
    <w:p>
      <w:pPr>
        <w:pStyle w:val="Heading3"/>
      </w:pPr>
      <w:r>
        <w:t xml:space="preserve">5.3 Analysis Phase</w:t>
      </w:r>
    </w:p>
    <w:p>
      <w:pPr>
        <w:pStyle w:val="FirstParagraph"/>
      </w:pPr>
      <w:r>
        <w:t xml:space="preserve">Quantitative data will be analyzed using descriptive statistics and inferential tests to identify significant patterns. Qualitative data from interviews will be thematically analyzed to provide contextual insights.</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New Zealand ethical guidelines for research involving human participants. Key considerations include:</w:t>
      </w:r>
    </w:p>
    <w:p>
      <w:pPr>
        <w:numPr>
          <w:ilvl w:val="0"/>
          <w:numId w:val="1004"/>
        </w:numPr>
        <w:pStyle w:val="Compact"/>
      </w:pPr>
      <w:r>
        <w:t xml:space="preserve">Informed consent from all participants (hairdressers and clients).</w:t>
      </w:r>
    </w:p>
    <w:p>
      <w:pPr>
        <w:numPr>
          <w:ilvl w:val="0"/>
          <w:numId w:val="1004"/>
        </w:numPr>
        <w:pStyle w:val="Compact"/>
      </w:pPr>
      <w:r>
        <w:t xml:space="preserve">Confidentiality of all personal and business information.</w:t>
      </w:r>
    </w:p>
    <w:p>
      <w:pPr>
        <w:numPr>
          <w:ilvl w:val="0"/>
          <w:numId w:val="1004"/>
        </w:numPr>
        <w:pStyle w:val="Compact"/>
      </w:pPr>
      <w:r>
        <w:t xml:space="preserve">Right to withdraw from the study at any time without penalty.</w:t>
      </w:r>
    </w:p>
    <w:p>
      <w:pPr>
        <w:numPr>
          <w:ilvl w:val="0"/>
          <w:numId w:val="1004"/>
        </w:numPr>
        <w:pStyle w:val="Compact"/>
      </w:pPr>
      <w:r>
        <w:t xml:space="preserve">Minimization of disruption to normal salon operations.</w:t>
      </w:r>
    </w:p>
    <w:p>
      <w:pPr>
        <w:numPr>
          <w:ilvl w:val="0"/>
          <w:numId w:val="1004"/>
        </w:numPr>
        <w:pStyle w:val="Compact"/>
      </w:pPr>
      <w:r>
        <w:t xml:space="preserve">Approval from relevant institutional review boards.</w:t>
      </w:r>
    </w:p>
    <w:bookmarkEnd w:id="31"/>
    <w:bookmarkStart w:id="32" w:name="expected-outcomes"/>
    <w:p>
      <w:pPr>
        <w:pStyle w:val="Heading2"/>
      </w:pPr>
      <w:r>
        <w:t xml:space="preserve">7. Expected Outcomes</w:t>
      </w:r>
    </w:p>
    <w:p>
      <w:pPr>
        <w:pStyle w:val="FirstParagraph"/>
      </w:pPr>
      <w:r>
        <w:t xml:space="preserve">This experiment protocol aims to produce:</w:t>
      </w:r>
    </w:p>
    <w:p>
      <w:pPr>
        <w:numPr>
          <w:ilvl w:val="0"/>
          <w:numId w:val="1005"/>
        </w:numPr>
        <w:pStyle w:val="Compact"/>
      </w:pPr>
      <w:r>
        <w:t xml:space="preserve">A validated assessment tool for hairdresser quality in New Zealand Auckland.</w:t>
      </w:r>
    </w:p>
    <w:p>
      <w:pPr>
        <w:numPr>
          <w:ilvl w:val="0"/>
          <w:numId w:val="1005"/>
        </w:numPr>
        <w:pStyle w:val="Compact"/>
      </w:pPr>
      <w:r>
        <w:t xml:space="preserve">Identified best practices for hairdressing services in multicultural contexts.</w:t>
      </w:r>
    </w:p>
    <w:p>
      <w:pPr>
        <w:numPr>
          <w:ilvl w:val="0"/>
          <w:numId w:val="1005"/>
        </w:numPr>
        <w:pStyle w:val="Compact"/>
      </w:pPr>
      <w:r>
        <w:t xml:space="preserve">Recommendations for professional development and training programs.</w:t>
      </w:r>
    </w:p>
    <w:p>
      <w:pPr>
        <w:numPr>
          <w:ilvl w:val="0"/>
          <w:numId w:val="1005"/>
        </w:numPr>
        <w:pStyle w:val="Compact"/>
      </w:pPr>
      <w:r>
        <w:t xml:space="preserve">Insights into client expectations and satisfaction drivers in Auckland.</w:t>
      </w:r>
    </w:p>
    <w:bookmarkEnd w:id="32"/>
    <w:bookmarkStart w:id="33" w:name="timeline"/>
    <w:p>
      <w:pPr>
        <w:pStyle w:val="Heading2"/>
      </w:pPr>
      <w:r>
        <w:t xml:space="preserve">8. Timeline</w:t>
      </w:r>
    </w:p>
    <w:p>
      <w:pPr>
        <w:numPr>
          <w:ilvl w:val="0"/>
          <w:numId w:val="1006"/>
        </w:numPr>
        <w:pStyle w:val="Compact"/>
      </w:pPr>
      <w:r>
        <w:rPr>
          <w:bCs/>
          <w:b/>
        </w:rPr>
        <w:t xml:space="preserve">Months 1-2:</w:t>
      </w:r>
      <w:r>
        <w:t xml:space="preserve"> </w:t>
      </w:r>
      <w:r>
        <w:t xml:space="preserve">Preparation, training, and pilot testing.</w:t>
      </w:r>
    </w:p>
    <w:p>
      <w:pPr>
        <w:numPr>
          <w:ilvl w:val="0"/>
          <w:numId w:val="1006"/>
        </w:numPr>
        <w:pStyle w:val="Compact"/>
      </w:pPr>
      <w:r>
        <w:rPr>
          <w:bCs/>
          <w:b/>
        </w:rPr>
        <w:t xml:space="preserve">Months 3-5:</w:t>
      </w:r>
      <w:r>
        <w:t xml:space="preserve"> </w:t>
      </w:r>
      <w:r>
        <w:t xml:space="preserve">Data collection across selected hairdressing establishments.</w:t>
      </w:r>
    </w:p>
    <w:p>
      <w:pPr>
        <w:numPr>
          <w:ilvl w:val="0"/>
          <w:numId w:val="1006"/>
        </w:numPr>
        <w:pStyle w:val="Compact"/>
      </w:pPr>
      <w:r>
        <w:rPr>
          <w:bCs/>
          <w:b/>
        </w:rPr>
        <w:t xml:space="preserve">Month 6:</w:t>
      </w:r>
      <w:r>
        <w:t xml:space="preserve"> </w:t>
      </w:r>
      <w:r>
        <w:t xml:space="preserve">Data analysis, reporting, and dissemination of findings.</w:t>
      </w:r>
    </w:p>
    <w:bookmarkEnd w:id="33"/>
    <w:bookmarkStart w:id="34" w:name="conclusion"/>
    <w:p>
      <w:pPr>
        <w:pStyle w:val="Heading2"/>
      </w:pPr>
      <w:r>
        <w:t xml:space="preserve">9. Conclusion</w:t>
      </w:r>
    </w:p>
    <w:p>
      <w:pPr>
        <w:pStyle w:val="FirstParagraph"/>
      </w:pPr>
      <w:r>
        <w:t xml:space="preserve">This Experiment Protocol provides a rigorous framework for evaluating hairdresser services in New Zealand Auckland. By combining technical assessment with client feedback and cultural considerations, the study will contribute valuable insights to the hairdressing industry, benefiting practitioners, clients, and regulatory bodies alike.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Assessment in New Zealand Auckland</dc:title>
  <dc:creator/>
  <dc:language>en</dc:language>
  <cp:keywords/>
  <dcterms:created xsi:type="dcterms:W3CDTF">2026-10-10T05:54:40Z</dcterms:created>
  <dcterms:modified xsi:type="dcterms:W3CDTF">2026-10-10T05:54:40Z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