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Strategic Human Resources Manager Efficacy in Australia Melbourne Organisations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Melbourne</w:t>
      </w:r>
    </w:p>
    <w:bookmarkEnd w:id="20"/>
    <w:p>
      <w:pPr>
        <w:pStyle w:val="BodyText"/>
      </w:pPr>
      <w:r>
        <w:t xml:space="preserve">1. Introduction and Background</w:t>
      </w:r>
    </w:p>
    <w:p>
      <w:pPr>
        <w:pStyle w:val="BodyText"/>
      </w:pPr>
      <w:r>
        <w:t xml:space="preserve">This Experiment Protocol outlines the methodology for assessing the impact of Human Resources Manager (HRM) interventions on organisational performance within the specific socio-economic context of Australia Melbourne. Melbourne, as a major economic hub in Australia, presents a unique environment characterised by a diverse workforce, stringent employment regulations, and a competitive talent market. The role of the Human Resources Manager in this region is critical for ensuring compliance with Australian labour laws, fostering inclusive workplace cultures, and driving strategic business outcomes.</w:t>
      </w:r>
    </w:p>
    <w:p>
      <w:pPr>
        <w:pStyle w:val="BodyText"/>
      </w:pPr>
      <w:r>
        <w:t xml:space="preserve">The purpose of this experiment is to determine whether specific HRM strategies—such as data-driven recruitment, employee well-being initiatives, and compliance training—significantly improve key performance indicators (KPIs) compared to traditional HR practices. This protocol ensures that the experiment is conducted ethically, legally, and scientifically within the jurisdiction of Australia Melbourne.</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effectiveness of modern Human Resources Manager strategies in enhancing employee retention rates in Australia Melbourne.</w:t>
      </w:r>
    </w:p>
    <w:p>
      <w:pPr>
        <w:numPr>
          <w:ilvl w:val="0"/>
          <w:numId w:val="1001"/>
        </w:numPr>
        <w:pStyle w:val="Compact"/>
      </w:pPr>
      <w:r>
        <w:t xml:space="preserve">To measure the impact of HR-led diversity and inclusion programs on workplace productivity.</w:t>
      </w:r>
    </w:p>
    <w:p>
      <w:pPr>
        <w:numPr>
          <w:ilvl w:val="0"/>
          <w:numId w:val="1001"/>
        </w:numPr>
        <w:pStyle w:val="Compact"/>
      </w:pPr>
      <w:r>
        <w:t xml:space="preserve">To assess the correlation between proactive compliance management by the Human Resources Manager and the reduction of workplace disputes under Australian law.</w:t>
      </w:r>
    </w:p>
    <w:p>
      <w:pPr>
        <w:numPr>
          <w:ilvl w:val="0"/>
          <w:numId w:val="1001"/>
        </w:numPr>
        <w:pStyle w:val="Compact"/>
      </w:pPr>
      <w:r>
        <w:t xml:space="preserve">To provide evidence-based recommendations for HR practices tailored to the Australia Melbourne business environment.</w:t>
      </w:r>
    </w:p>
    <w:p>
      <w:pPr>
        <w:pStyle w:val="FirstParagraph"/>
      </w:pPr>
      <w:r>
        <w:t xml:space="preserve">3. Methodology</w:t>
      </w:r>
    </w:p>
    <w:p>
      <w:pPr>
        <w:pStyle w:val="BodyText"/>
      </w:pPr>
      <w:r>
        <w:t xml:space="preserve">This experiment will utilise a quasi-experimental design involving two groups of organisations based in Australia Melbourne: a control group and an intervention group. The Human Resources Manager in each organisation will play a central role in implementing the respective strategies.</w:t>
      </w:r>
    </w:p>
    <w:bookmarkStart w:id="21" w:name="participants"/>
    <w:p>
      <w:pPr>
        <w:pStyle w:val="Heading3"/>
      </w:pPr>
      <w:r>
        <w:t xml:space="preserve">3.1 Participants</w:t>
      </w:r>
    </w:p>
    <w:p>
      <w:pPr>
        <w:pStyle w:val="FirstParagraph"/>
      </w:pPr>
      <w:r>
        <w:t xml:space="preserve">The study will include 20 medium-to-large enterprises located in Australia Melbourne, each employing between 100 and 500 staff. Participants will be selected based on their willingness to engage with the Human Resources Manager-led interventions and their commitment to data transparency.</w:t>
      </w:r>
    </w:p>
    <w:bookmarkEnd w:id="21"/>
    <w:bookmarkStart w:id="22" w:name="intervention-group"/>
    <w:p>
      <w:pPr>
        <w:pStyle w:val="Heading3"/>
      </w:pPr>
      <w:r>
        <w:t xml:space="preserve">3.2 Intervention Group</w:t>
      </w:r>
    </w:p>
    <w:p>
      <w:pPr>
        <w:pStyle w:val="FirstParagraph"/>
      </w:pPr>
      <w:r>
        <w:t xml:space="preserve">In the intervention group, the Human Resources Manager will implement a suite of advanced HR practices, including:</w:t>
      </w:r>
    </w:p>
    <w:p>
      <w:pPr>
        <w:numPr>
          <w:ilvl w:val="0"/>
          <w:numId w:val="1002"/>
        </w:numPr>
        <w:pStyle w:val="Compact"/>
      </w:pPr>
      <w:r>
        <w:t xml:space="preserve">AI-assisted recruitment tools to reduce bias and improve candidate matching.</w:t>
      </w:r>
    </w:p>
    <w:p>
      <w:pPr>
        <w:numPr>
          <w:ilvl w:val="0"/>
          <w:numId w:val="1002"/>
        </w:numPr>
        <w:pStyle w:val="Compact"/>
      </w:pPr>
      <w:r>
        <w:t xml:space="preserve">Regular mental health and well-being workshops aligned with Australian workplace health and safety standards.</w:t>
      </w:r>
    </w:p>
    <w:p>
      <w:pPr>
        <w:numPr>
          <w:ilvl w:val="0"/>
          <w:numId w:val="1002"/>
        </w:numPr>
        <w:pStyle w:val="Compact"/>
      </w:pPr>
      <w:r>
        <w:t xml:space="preserve">Continuous compliance training focused on the Fair Work Act and other relevant Australian legislation.</w:t>
      </w:r>
    </w:p>
    <w:bookmarkEnd w:id="22"/>
    <w:bookmarkStart w:id="23" w:name="control-group"/>
    <w:p>
      <w:pPr>
        <w:pStyle w:val="Heading3"/>
      </w:pPr>
      <w:r>
        <w:t xml:space="preserve">3.3 Control Group</w:t>
      </w:r>
    </w:p>
    <w:p>
      <w:pPr>
        <w:pStyle w:val="FirstParagraph"/>
      </w:pPr>
      <w:r>
        <w:t xml:space="preserve">The control group will continue with standard HR practices as dictated by their existing Human Resources Manager, without the introduction of new technologies or structured well-being programs.</w:t>
      </w:r>
    </w:p>
    <w:bookmarkEnd w:id="23"/>
    <w:p>
      <w:pPr>
        <w:pStyle w:val="BodyText"/>
      </w:pPr>
      <w:r>
        <w:t xml:space="preserve">4. Data Collection</w:t>
      </w:r>
    </w:p>
    <w:p>
      <w:pPr>
        <w:pStyle w:val="BodyText"/>
      </w:pPr>
      <w:r>
        <w:t xml:space="preserve">Data will be collected over a period of 12 months. The Human Resources Manager in each organisation will be responsible for maintaining accurate records and facilitating data collection. Key metrics include:</w:t>
      </w:r>
    </w:p>
    <w:p>
      <w:pPr>
        <w:numPr>
          <w:ilvl w:val="0"/>
          <w:numId w:val="1003"/>
        </w:numPr>
        <w:pStyle w:val="Compact"/>
      </w:pPr>
      <w:r>
        <w:t xml:space="preserve">Employee turnover rates.</w:t>
      </w:r>
    </w:p>
    <w:p>
      <w:pPr>
        <w:numPr>
          <w:ilvl w:val="0"/>
          <w:numId w:val="1003"/>
        </w:numPr>
        <w:pStyle w:val="Compact"/>
      </w:pPr>
      <w:r>
        <w:t xml:space="preserve">Employee satisfaction scores via anonymous surveys.</w:t>
      </w:r>
    </w:p>
    <w:p>
      <w:pPr>
        <w:numPr>
          <w:ilvl w:val="0"/>
          <w:numId w:val="1003"/>
        </w:numPr>
        <w:pStyle w:val="Compact"/>
      </w:pPr>
      <w:r>
        <w:t xml:space="preserve">Number of workplace grievances or legal disputes.</w:t>
      </w:r>
    </w:p>
    <w:p>
      <w:pPr>
        <w:numPr>
          <w:ilvl w:val="0"/>
          <w:numId w:val="1003"/>
        </w:numPr>
        <w:pStyle w:val="Compact"/>
      </w:pPr>
      <w:r>
        <w:t xml:space="preserve">Productivity metrics, such as output per employee.</w:t>
      </w:r>
    </w:p>
    <w:p>
      <w:pPr>
        <w:pStyle w:val="FirstParagraph"/>
      </w:pPr>
      <w:r>
        <w:t xml:space="preserve">All data will be anonymised to protect employee privacy in accordance with the Privacy Act 1988 (Cth) of Australia.</w:t>
      </w:r>
    </w:p>
    <w:p>
      <w:pPr>
        <w:pStyle w:val="BodyText"/>
      </w:pPr>
      <w:r>
        <w:t xml:space="preserve">5. Ethical Considerations</w:t>
      </w:r>
    </w:p>
    <w:p>
      <w:pPr>
        <w:pStyle w:val="BodyText"/>
      </w:pPr>
      <w:r>
        <w:t xml:space="preserve">This experiment adheres to the ethical guidelines set by the National Statement on Ethical Conduct in Human Research in Australia. Key ethical considerations include:</w:t>
      </w:r>
    </w:p>
    <w:p>
      <w:pPr>
        <w:numPr>
          <w:ilvl w:val="0"/>
          <w:numId w:val="1004"/>
        </w:numPr>
        <w:pStyle w:val="Compact"/>
      </w:pPr>
      <w:r>
        <w:t xml:space="preserve">Informed consent from all participating employees.</w:t>
      </w:r>
    </w:p>
    <w:p>
      <w:pPr>
        <w:numPr>
          <w:ilvl w:val="0"/>
          <w:numId w:val="1004"/>
        </w:numPr>
        <w:pStyle w:val="Compact"/>
      </w:pPr>
      <w:r>
        <w:t xml:space="preserve">Confidentiality and secure storage of personal data.</w:t>
      </w:r>
    </w:p>
    <w:p>
      <w:pPr>
        <w:numPr>
          <w:ilvl w:val="0"/>
          <w:numId w:val="1004"/>
        </w:numPr>
        <w:pStyle w:val="Compact"/>
      </w:pPr>
      <w:r>
        <w:t xml:space="preserve">Voluntary participation with the right to withdraw at any time.</w:t>
      </w:r>
    </w:p>
    <w:p>
      <w:pPr>
        <w:numPr>
          <w:ilvl w:val="0"/>
          <w:numId w:val="1004"/>
        </w:numPr>
        <w:pStyle w:val="Compact"/>
      </w:pPr>
      <w:r>
        <w:t xml:space="preserve">Minimisation of risk to participants, particularly regarding psychological well-being.</w:t>
      </w:r>
    </w:p>
    <w:p>
      <w:pPr>
        <w:pStyle w:val="FirstParagraph"/>
      </w:pPr>
      <w:r>
        <w:t xml:space="preserve">The Human Resources Manager will ensure that all ethical protocols are communicated clearly to employees and that any concerns are addressed promptly.</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Recruitment of organisations, training of Human Resources Managers, baseline data collection.</w:t>
            </w:r>
          </w:p>
        </w:tc>
      </w:tr>
      <w:tr>
        <w:tc>
          <w:tcPr/>
          <w:p>
            <w:pPr>
              <w:pStyle w:val="Compact"/>
              <w:jc w:val="left"/>
            </w:pPr>
            <w:r>
              <w:t xml:space="preserve">Intervention</w:t>
            </w:r>
          </w:p>
        </w:tc>
        <w:tc>
          <w:tcPr/>
          <w:p>
            <w:pPr>
              <w:pStyle w:val="Compact"/>
              <w:jc w:val="left"/>
            </w:pPr>
            <w:r>
              <w:t xml:space="preserve">Months 3-10</w:t>
            </w:r>
          </w:p>
        </w:tc>
        <w:tc>
          <w:tcPr/>
          <w:p>
            <w:pPr>
              <w:pStyle w:val="Compact"/>
              <w:jc w:val="left"/>
            </w:pPr>
            <w:r>
              <w:t xml:space="preserve">Implementation of HR strategies in the intervention group; ongoing data collection in both groups.</w:t>
            </w:r>
          </w:p>
        </w:tc>
      </w:tr>
      <w:tr>
        <w:tc>
          <w:tcPr/>
          <w:p>
            <w:pPr>
              <w:pStyle w:val="Compact"/>
              <w:jc w:val="left"/>
            </w:pPr>
            <w:r>
              <w:t xml:space="preserve">Analysis</w:t>
            </w:r>
          </w:p>
        </w:tc>
        <w:tc>
          <w:tcPr/>
          <w:p>
            <w:pPr>
              <w:pStyle w:val="Compact"/>
              <w:jc w:val="left"/>
            </w:pPr>
            <w:r>
              <w:t xml:space="preserve">Months 11-12</w:t>
            </w:r>
          </w:p>
        </w:tc>
        <w:tc>
          <w:tcPr/>
          <w:p>
            <w:pPr>
              <w:pStyle w:val="Compact"/>
              <w:jc w:val="left"/>
            </w:pPr>
            <w:r>
              <w:t xml:space="preserve">Data analysis, comparison of outcomes, and preparation of final report.</w:t>
            </w:r>
          </w:p>
        </w:tc>
      </w:tr>
    </w:tbl>
    <w:p>
      <w:pPr>
        <w:pStyle w:val="BodyText"/>
      </w:pPr>
      <w:r>
        <w:t xml:space="preserve">7. Expected Outcomes</w:t>
      </w:r>
    </w:p>
    <w:p>
      <w:pPr>
        <w:pStyle w:val="BodyText"/>
      </w:pPr>
      <w:r>
        <w:t xml:space="preserve">It is anticipated that organisations in the intervention group will demonstrate:</w:t>
      </w:r>
    </w:p>
    <w:p>
      <w:pPr>
        <w:numPr>
          <w:ilvl w:val="0"/>
          <w:numId w:val="1005"/>
        </w:numPr>
        <w:pStyle w:val="Compact"/>
      </w:pPr>
      <w:r>
        <w:t xml:space="preserve">A reduction in employee turnover by at least 15%.</w:t>
      </w:r>
    </w:p>
    <w:p>
      <w:pPr>
        <w:numPr>
          <w:ilvl w:val="0"/>
          <w:numId w:val="1005"/>
        </w:numPr>
        <w:pStyle w:val="Compact"/>
      </w:pPr>
      <w:r>
        <w:t xml:space="preserve">Improved employee satisfaction scores.</w:t>
      </w:r>
    </w:p>
    <w:p>
      <w:pPr>
        <w:numPr>
          <w:ilvl w:val="0"/>
          <w:numId w:val="1005"/>
        </w:numPr>
        <w:pStyle w:val="Compact"/>
      </w:pPr>
      <w:r>
        <w:t xml:space="preserve">Fewer workplace disputes and higher compliance with Australian employment laws.</w:t>
      </w:r>
    </w:p>
    <w:p>
      <w:pPr>
        <w:pStyle w:val="FirstParagraph"/>
      </w:pPr>
      <w:r>
        <w:t xml:space="preserve">These outcomes will provide valuable insights for Human Resources Managers operating in Australia Melbourne, supporting the adoption of evidence-based HR practices.</w:t>
      </w:r>
    </w:p>
    <w:p>
      <w:pPr>
        <w:pStyle w:val="BodyText"/>
      </w:pPr>
      <w:r>
        <w:t xml:space="preserve">8. Conclusion</w:t>
      </w:r>
    </w:p>
    <w:p>
      <w:pPr>
        <w:pStyle w:val="BodyText"/>
      </w:pPr>
      <w:r>
        <w:t xml:space="preserve">This Experiment Protocol provides a structured approach to evaluating the role of the Human Resources Manager in enhancing organisational performance within Australia Melbourne. By adhering to rigorous scientific and ethical standards, this study aims to contribute to the broader understanding of effective HR management in the Australian context.</w:t>
      </w:r>
    </w:p>
    <w:p>
      <w:pPr>
        <w:pStyle w:val="BodyText"/>
      </w:pPr>
      <w:r>
        <w:t xml:space="preserve">This document is intended for use in research and organisational development within Australia Melbourne. All references to laws and regulations are based on current Australian legislation as of the date of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Australia Melbourne</dc:title>
  <dc:creator/>
  <dc:language>en</dc:language>
  <cp:keywords/>
  <dcterms:created xsi:type="dcterms:W3CDTF">2026-10-10T00:32:42Z</dcterms:created>
  <dcterms:modified xsi:type="dcterms:W3CDTF">2026-10-10T00:32:42Z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