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w:t>
      </w:r>
      <w:r>
        <w:t xml:space="preserve"> </w:t>
      </w:r>
      <w:r>
        <w:t xml:space="preserve">Kuwait</w:t>
      </w:r>
      <w:r>
        <w:t xml:space="preserve"> </w:t>
      </w:r>
      <w:r>
        <w:t xml:space="preserve">City</w:t>
      </w:r>
    </w:p>
    <w:bookmarkStart w:id="33" w:name="X441d0b8cc38a5d82f8476b587145841bca76b29"/>
    <w:p>
      <w:pPr>
        <w:pStyle w:val="Heading1"/>
      </w:pPr>
      <w:r>
        <w:t xml:space="preserve">Experiment Protocol: Journalist in Kuwait City</w:t>
      </w:r>
    </w:p>
    <w:bookmarkStart w:id="20" w:name="title"/>
    <w:p>
      <w:pPr>
        <w:pStyle w:val="Heading2"/>
      </w:pPr>
      <w:r>
        <w:t xml:space="preserve">1. Title</w:t>
      </w:r>
    </w:p>
    <w:p>
      <w:pPr>
        <w:pStyle w:val="FirstParagraph"/>
      </w:pPr>
      <w:r>
        <w:t xml:space="preserve">Assessing the Operational Dynamics, Ethical Challenges, and Information Accessibility of a Journalist Working in Kuwait City, Kuwait.</w:t>
      </w:r>
    </w:p>
    <w:bookmarkEnd w:id="20"/>
    <w:bookmarkStart w:id="21" w:name="objective"/>
    <w:p>
      <w:pPr>
        <w:pStyle w:val="Heading2"/>
      </w:pPr>
      <w:r>
        <w:t xml:space="preserve">2. Objective</w:t>
      </w:r>
    </w:p>
    <w:p>
      <w:pPr>
        <w:pStyle w:val="FirstParagraph"/>
      </w:pPr>
      <w:r>
        <w:t xml:space="preserve">The primary objective of this Experiment Protocol is to systematically evaluate the professional environment, legal constraints, cultural considerations, and technological tools utilized by a Journalist operating within Kuwait City. This study aims to provide a comprehensive understanding of how local regulations, media landscape, and societal norms influence journalistic practices in the capital of Kuwait.</w:t>
      </w:r>
    </w:p>
    <w:bookmarkEnd w:id="21"/>
    <w:bookmarkStart w:id="22" w:name="background"/>
    <w:p>
      <w:pPr>
        <w:pStyle w:val="Heading2"/>
      </w:pPr>
      <w:r>
        <w:t xml:space="preserve">3. Background</w:t>
      </w:r>
    </w:p>
    <w:p>
      <w:pPr>
        <w:pStyle w:val="FirstParagraph"/>
      </w:pPr>
      <w:r>
        <w:t xml:space="preserve">Kuwait City, as the political, economic, and cultural hub of Kuwait, presents a unique environment for media professionals. The country has a relatively open media landscape compared to some regional neighbors, with a vibrant print, broadcast, and digital media sector. However, journalists must navigate specific legal frameworks, including the Press and Publications Law, which governs content, defamation, and national security. Understanding these dynamics is crucial for any Journalist aiming to operate effectively and ethically in Kuwait City.</w:t>
      </w:r>
    </w:p>
    <w:bookmarkEnd w:id="22"/>
    <w:bookmarkStart w:id="23" w:name="scope"/>
    <w:p>
      <w:pPr>
        <w:pStyle w:val="Heading2"/>
      </w:pPr>
      <w:r>
        <w:t xml:space="preserve">4. Scope</w:t>
      </w:r>
    </w:p>
    <w:p>
      <w:pPr>
        <w:pStyle w:val="FirstParagraph"/>
      </w:pPr>
      <w:r>
        <w:t xml:space="preserve">This Experiment Protocol applies to:</w:t>
      </w:r>
    </w:p>
    <w:p>
      <w:pPr>
        <w:numPr>
          <w:ilvl w:val="0"/>
          <w:numId w:val="1001"/>
        </w:numPr>
        <w:pStyle w:val="Compact"/>
      </w:pPr>
      <w:r>
        <w:t xml:space="preserve">Print, broadcast, and digital Journalists based in or reporting from Kuwait City.</w:t>
      </w:r>
    </w:p>
    <w:p>
      <w:pPr>
        <w:numPr>
          <w:ilvl w:val="0"/>
          <w:numId w:val="1001"/>
        </w:numPr>
        <w:pStyle w:val="Compact"/>
      </w:pPr>
      <w:r>
        <w:t xml:space="preserve">Investigative, political, economic, and cultural reporting.</w:t>
      </w:r>
    </w:p>
    <w:p>
      <w:pPr>
        <w:numPr>
          <w:ilvl w:val="0"/>
          <w:numId w:val="1001"/>
        </w:numPr>
        <w:pStyle w:val="Compact"/>
      </w:pPr>
      <w:r>
        <w:t xml:space="preserve">Interactions with government entities, public officials, and private organizations.</w:t>
      </w:r>
    </w:p>
    <w:p>
      <w:pPr>
        <w:numPr>
          <w:ilvl w:val="0"/>
          <w:numId w:val="1001"/>
        </w:numPr>
        <w:pStyle w:val="Compact"/>
      </w:pPr>
      <w:r>
        <w:t xml:space="preserve">Use of digital platforms and social media for news dissemination.</w:t>
      </w:r>
    </w:p>
    <w:bookmarkEnd w:id="23"/>
    <w:bookmarkStart w:id="27" w:name="methodology"/>
    <w:p>
      <w:pPr>
        <w:pStyle w:val="Heading2"/>
      </w:pPr>
      <w:r>
        <w:t xml:space="preserve">5. Methodology</w:t>
      </w:r>
    </w:p>
    <w:bookmarkStart w:id="24" w:name="participant-selection"/>
    <w:p>
      <w:pPr>
        <w:pStyle w:val="Heading3"/>
      </w:pPr>
      <w:r>
        <w:t xml:space="preserve">5.1 Participant Selection</w:t>
      </w:r>
    </w:p>
    <w:p>
      <w:pPr>
        <w:pStyle w:val="FirstParagraph"/>
      </w:pPr>
      <w:r>
        <w:t xml:space="preserve">The experiment will involve a sample of 20 Journalists working in Kuwait City, including:</w:t>
      </w:r>
    </w:p>
    <w:p>
      <w:pPr>
        <w:numPr>
          <w:ilvl w:val="0"/>
          <w:numId w:val="1002"/>
        </w:numPr>
        <w:pStyle w:val="Compact"/>
      </w:pPr>
      <w:r>
        <w:t xml:space="preserve">10 local Kuwaiti journalists.</w:t>
      </w:r>
    </w:p>
    <w:p>
      <w:pPr>
        <w:numPr>
          <w:ilvl w:val="0"/>
          <w:numId w:val="1002"/>
        </w:numPr>
        <w:pStyle w:val="Compact"/>
      </w:pPr>
      <w:r>
        <w:t xml:space="preserve">5 expatriate journalists.</w:t>
      </w:r>
    </w:p>
    <w:p>
      <w:pPr>
        <w:numPr>
          <w:ilvl w:val="0"/>
          <w:numId w:val="1002"/>
        </w:numPr>
        <w:pStyle w:val="Compact"/>
      </w:pPr>
      <w:r>
        <w:t xml:space="preserve">5 freelance or independent journalists.</w:t>
      </w:r>
    </w:p>
    <w:p>
      <w:pPr>
        <w:pStyle w:val="FirstParagraph"/>
      </w:pPr>
      <w:r>
        <w:t xml:space="preserve">Participants will be selected based on their experience (minimum 2 years in the field), current employment status, and willingness to participate in the study.</w:t>
      </w:r>
    </w:p>
    <w:bookmarkEnd w:id="24"/>
    <w:bookmarkStart w:id="25" w:name="data-collection-methods"/>
    <w:p>
      <w:pPr>
        <w:pStyle w:val="Heading3"/>
      </w:pPr>
      <w:r>
        <w:t xml:space="preserve">5.2 Data Collection Methods</w:t>
      </w:r>
    </w:p>
    <w:p>
      <w:pPr>
        <w:pStyle w:val="FirstParagraph"/>
      </w:pPr>
      <w:r>
        <w:t xml:space="preserve">Data will be collected through:</w:t>
      </w:r>
    </w:p>
    <w:p>
      <w:pPr>
        <w:numPr>
          <w:ilvl w:val="0"/>
          <w:numId w:val="1003"/>
        </w:numPr>
        <w:pStyle w:val="Compact"/>
      </w:pPr>
      <w:r>
        <w:t xml:space="preserve">Semi-structured interviews focusing on daily operations, challenges, and ethical dilemmas.</w:t>
      </w:r>
    </w:p>
    <w:p>
      <w:pPr>
        <w:numPr>
          <w:ilvl w:val="0"/>
          <w:numId w:val="1003"/>
        </w:numPr>
        <w:pStyle w:val="Compact"/>
      </w:pPr>
      <w:r>
        <w:t xml:space="preserve">Observation of newsroom practices and reporting activities.</w:t>
      </w:r>
    </w:p>
    <w:p>
      <w:pPr>
        <w:numPr>
          <w:ilvl w:val="0"/>
          <w:numId w:val="1003"/>
        </w:numPr>
        <w:pStyle w:val="Compact"/>
      </w:pPr>
      <w:r>
        <w:t xml:space="preserve">Analysis of published articles, broadcasts, and digital content.</w:t>
      </w:r>
    </w:p>
    <w:p>
      <w:pPr>
        <w:numPr>
          <w:ilvl w:val="0"/>
          <w:numId w:val="1003"/>
        </w:numPr>
        <w:pStyle w:val="Compact"/>
      </w:pPr>
      <w:r>
        <w:t xml:space="preserve">Surveys assessing perceptions of press freedom, legal risks, and technological tools.</w:t>
      </w:r>
    </w:p>
    <w:bookmarkEnd w:id="25"/>
    <w:bookmarkStart w:id="26" w:name="experimental-procedures"/>
    <w:p>
      <w:pPr>
        <w:pStyle w:val="Heading3"/>
      </w:pPr>
      <w:r>
        <w:t xml:space="preserve">5.3 Experimental Procedures</w:t>
      </w:r>
    </w:p>
    <w:p>
      <w:pPr>
        <w:pStyle w:val="FirstParagraph"/>
      </w:pPr>
      <w:r>
        <w:t xml:space="preserve">The experiment will be conducted in three phases:</w:t>
      </w:r>
    </w:p>
    <w:p>
      <w:pPr>
        <w:numPr>
          <w:ilvl w:val="0"/>
          <w:numId w:val="1004"/>
        </w:numPr>
        <w:pStyle w:val="Compact"/>
      </w:pPr>
      <w:r>
        <w:rPr>
          <w:bCs/>
          <w:b/>
        </w:rPr>
        <w:t xml:space="preserve">Phase 1: Preparation</w:t>
      </w:r>
      <w:r>
        <w:t xml:space="preserve"> </w:t>
      </w:r>
      <w:r>
        <w:t xml:space="preserve">– Obtain necessary approvals, recruit participants, and finalize interview guides and survey instruments.</w:t>
      </w:r>
    </w:p>
    <w:p>
      <w:pPr>
        <w:numPr>
          <w:ilvl w:val="0"/>
          <w:numId w:val="1004"/>
        </w:numPr>
        <w:pStyle w:val="Compact"/>
      </w:pPr>
      <w:r>
        <w:rPr>
          <w:bCs/>
          <w:b/>
        </w:rPr>
        <w:t xml:space="preserve">Phase 2: Execution</w:t>
      </w:r>
      <w:r>
        <w:t xml:space="preserve"> </w:t>
      </w:r>
      <w:r>
        <w:t xml:space="preserve">– Conduct interviews, observations, and surveys over a period of 6 weeks.</w:t>
      </w:r>
    </w:p>
    <w:p>
      <w:pPr>
        <w:numPr>
          <w:ilvl w:val="0"/>
          <w:numId w:val="1004"/>
        </w:numPr>
        <w:pStyle w:val="Compact"/>
      </w:pPr>
      <w:r>
        <w:rPr>
          <w:bCs/>
          <w:b/>
        </w:rPr>
        <w:t xml:space="preserve">Phase 3: Analysis</w:t>
      </w:r>
      <w:r>
        <w:t xml:space="preserve"> </w:t>
      </w:r>
      <w:r>
        <w:t xml:space="preserve">– Compile and analyze qualitative and quantitative data to identify patterns, challenges, and best practices.</w:t>
      </w:r>
    </w:p>
    <w:bookmarkEnd w:id="26"/>
    <w:bookmarkEnd w:id="27"/>
    <w:bookmarkStart w:id="28" w:name="ethical-considerations"/>
    <w:p>
      <w:pPr>
        <w:pStyle w:val="Heading2"/>
      </w:pPr>
      <w:r>
        <w:t xml:space="preserve">6. Ethical Considerations</w:t>
      </w:r>
    </w:p>
    <w:p>
      <w:pPr>
        <w:pStyle w:val="FirstParagraph"/>
      </w:pPr>
      <w:r>
        <w:t xml:space="preserve">This Experiment Protocol adheres to the following ethical standards:</w:t>
      </w:r>
    </w:p>
    <w:p>
      <w:pPr>
        <w:numPr>
          <w:ilvl w:val="0"/>
          <w:numId w:val="1005"/>
        </w:numPr>
        <w:pStyle w:val="Compact"/>
      </w:pPr>
      <w:r>
        <w:t xml:space="preserve">Informed consent will be obtained from all participants.</w:t>
      </w:r>
    </w:p>
    <w:p>
      <w:pPr>
        <w:numPr>
          <w:ilvl w:val="0"/>
          <w:numId w:val="1005"/>
        </w:numPr>
        <w:pStyle w:val="Compact"/>
      </w:pPr>
      <w:r>
        <w:t xml:space="preserve">Confidentiality and anonymity will be maintained where requested.</w:t>
      </w:r>
    </w:p>
    <w:p>
      <w:pPr>
        <w:numPr>
          <w:ilvl w:val="0"/>
          <w:numId w:val="1005"/>
        </w:numPr>
        <w:pStyle w:val="Compact"/>
      </w:pPr>
      <w:r>
        <w:t xml:space="preserve">Participants will be informed of their right to withdraw at any time.</w:t>
      </w:r>
    </w:p>
    <w:p>
      <w:pPr>
        <w:numPr>
          <w:ilvl w:val="0"/>
          <w:numId w:val="1005"/>
        </w:numPr>
        <w:pStyle w:val="Compact"/>
      </w:pPr>
      <w:r>
        <w:t xml:space="preserve">Data will be stored securely and used solely for research purposes.</w:t>
      </w:r>
    </w:p>
    <w:p>
      <w:pPr>
        <w:numPr>
          <w:ilvl w:val="0"/>
          <w:numId w:val="1005"/>
        </w:numPr>
        <w:pStyle w:val="Compact"/>
      </w:pPr>
      <w:r>
        <w:t xml:space="preserve">Compliance with Kuwaiti laws and regulations regarding media and research will be ensured.</w:t>
      </w:r>
    </w:p>
    <w:bookmarkEnd w:id="28"/>
    <w:bookmarkStart w:id="29" w:name="legal-and-regulatory-compliance"/>
    <w:p>
      <w:pPr>
        <w:pStyle w:val="Heading2"/>
      </w:pPr>
      <w:r>
        <w:t xml:space="preserve">7. Legal and Regulatory Compliance</w:t>
      </w:r>
    </w:p>
    <w:p>
      <w:pPr>
        <w:pStyle w:val="FirstParagraph"/>
      </w:pPr>
      <w:r>
        <w:t xml:space="preserve">All activities under this Experiment Protocol will comply with:</w:t>
      </w:r>
    </w:p>
    <w:p>
      <w:pPr>
        <w:numPr>
          <w:ilvl w:val="0"/>
          <w:numId w:val="1006"/>
        </w:numPr>
        <w:pStyle w:val="Compact"/>
      </w:pPr>
      <w:r>
        <w:t xml:space="preserve">Kuwait’s Press and Publications Law.</w:t>
      </w:r>
    </w:p>
    <w:p>
      <w:pPr>
        <w:numPr>
          <w:ilvl w:val="0"/>
          <w:numId w:val="1006"/>
        </w:numPr>
        <w:pStyle w:val="Compact"/>
      </w:pPr>
      <w:r>
        <w:t xml:space="preserve">Regulations issued by the Ministry of Information.</w:t>
      </w:r>
    </w:p>
    <w:p>
      <w:pPr>
        <w:numPr>
          <w:ilvl w:val="0"/>
          <w:numId w:val="1006"/>
        </w:numPr>
        <w:pStyle w:val="Compact"/>
      </w:pPr>
      <w:r>
        <w:t xml:space="preserve">International journalistic ethical standards.</w:t>
      </w:r>
    </w:p>
    <w:p>
      <w:pPr>
        <w:pStyle w:val="FirstParagraph"/>
      </w:pPr>
      <w:r>
        <w:rPr>
          <w:bCs/>
          <w:b/>
        </w:rPr>
        <w:t xml:space="preserve">Note:</w:t>
      </w:r>
      <w:r>
        <w:t xml:space="preserve"> </w:t>
      </w:r>
      <w:r>
        <w:t xml:space="preserve">Journalists participating in this experiment must be aware of legal restrictions on reporting sensitive topics, including national security, defamation, and religious content.</w:t>
      </w:r>
    </w:p>
    <w:bookmarkEnd w:id="29"/>
    <w:bookmarkStart w:id="30" w:name="expected-outcomes"/>
    <w:p>
      <w:pPr>
        <w:pStyle w:val="Heading2"/>
      </w:pPr>
      <w:r>
        <w:t xml:space="preserve">8. Expected Outcomes</w:t>
      </w:r>
    </w:p>
    <w:p>
      <w:pPr>
        <w:pStyle w:val="FirstParagraph"/>
      </w:pPr>
      <w:r>
        <w:t xml:space="preserve">This experiment aims to produce:</w:t>
      </w:r>
    </w:p>
    <w:p>
      <w:pPr>
        <w:numPr>
          <w:ilvl w:val="0"/>
          <w:numId w:val="1007"/>
        </w:numPr>
        <w:pStyle w:val="Compact"/>
      </w:pPr>
      <w:r>
        <w:t xml:space="preserve">A detailed report on the operational environment for Journalists in Kuwait City.</w:t>
      </w:r>
    </w:p>
    <w:p>
      <w:pPr>
        <w:numPr>
          <w:ilvl w:val="0"/>
          <w:numId w:val="1007"/>
        </w:numPr>
        <w:pStyle w:val="Compact"/>
      </w:pPr>
      <w:r>
        <w:t xml:space="preserve">Identification of key challenges, including legal, cultural, and technological barriers.</w:t>
      </w:r>
    </w:p>
    <w:p>
      <w:pPr>
        <w:numPr>
          <w:ilvl w:val="0"/>
          <w:numId w:val="1007"/>
        </w:numPr>
        <w:pStyle w:val="Compact"/>
      </w:pPr>
      <w:r>
        <w:t xml:space="preserve">Recommendations for improving press freedom, safety, and ethical standards.</w:t>
      </w:r>
    </w:p>
    <w:p>
      <w:pPr>
        <w:numPr>
          <w:ilvl w:val="0"/>
          <w:numId w:val="1007"/>
        </w:numPr>
        <w:pStyle w:val="Compact"/>
      </w:pPr>
      <w:r>
        <w:t xml:space="preserve">Insights into the role of digital media and social platforms in Kuwaiti journalism.</w:t>
      </w:r>
    </w:p>
    <w:bookmarkEnd w:id="30"/>
    <w:bookmarkStart w:id="31" w:name="timeline"/>
    <w:p>
      <w:pPr>
        <w:pStyle w:val="Heading2"/>
      </w:pPr>
      <w:r>
        <w:t xml:space="preserve">9. Timeline</w:t>
      </w:r>
    </w:p>
    <w:p>
      <w:pPr>
        <w:numPr>
          <w:ilvl w:val="0"/>
          <w:numId w:val="1008"/>
        </w:numPr>
        <w:pStyle w:val="Compact"/>
      </w:pPr>
      <w:r>
        <w:rPr>
          <w:bCs/>
          <w:b/>
        </w:rPr>
        <w:t xml:space="preserve">Weeks 1–2:</w:t>
      </w:r>
      <w:r>
        <w:t xml:space="preserve"> </w:t>
      </w:r>
      <w:r>
        <w:t xml:space="preserve">Preparation and participant recruitment.</w:t>
      </w:r>
    </w:p>
    <w:p>
      <w:pPr>
        <w:numPr>
          <w:ilvl w:val="0"/>
          <w:numId w:val="1008"/>
        </w:numPr>
        <w:pStyle w:val="Compact"/>
      </w:pPr>
      <w:r>
        <w:rPr>
          <w:bCs/>
          <w:b/>
        </w:rPr>
        <w:t xml:space="preserve">Weeks 3–8:</w:t>
      </w:r>
      <w:r>
        <w:t xml:space="preserve"> </w:t>
      </w:r>
      <w:r>
        <w:t xml:space="preserve">Data collection (interviews, observations, surveys).</w:t>
      </w:r>
    </w:p>
    <w:p>
      <w:pPr>
        <w:numPr>
          <w:ilvl w:val="0"/>
          <w:numId w:val="1008"/>
        </w:numPr>
        <w:pStyle w:val="Compact"/>
      </w:pPr>
      <w:r>
        <w:rPr>
          <w:bCs/>
          <w:b/>
        </w:rPr>
        <w:t xml:space="preserve">Weeks 9–10:</w:t>
      </w:r>
      <w:r>
        <w:t xml:space="preserve"> </w:t>
      </w:r>
      <w:r>
        <w:t xml:space="preserve">Data analysis and report drafting.</w:t>
      </w:r>
    </w:p>
    <w:p>
      <w:pPr>
        <w:numPr>
          <w:ilvl w:val="0"/>
          <w:numId w:val="1008"/>
        </w:numPr>
        <w:pStyle w:val="Compact"/>
      </w:pPr>
      <w:r>
        <w:rPr>
          <w:bCs/>
          <w:b/>
        </w:rPr>
        <w:t xml:space="preserve">Week 11:</w:t>
      </w:r>
      <w:r>
        <w:t xml:space="preserve"> </w:t>
      </w:r>
      <w:r>
        <w:t xml:space="preserve">Final review and dissemination of findings.</w:t>
      </w:r>
    </w:p>
    <w:bookmarkEnd w:id="31"/>
    <w:bookmarkStart w:id="32" w:name="conclusion"/>
    <w:p>
      <w:pPr>
        <w:pStyle w:val="Heading2"/>
      </w:pPr>
      <w:r>
        <w:t xml:space="preserve">10. Conclusion</w:t>
      </w:r>
    </w:p>
    <w:p>
      <w:pPr>
        <w:pStyle w:val="FirstParagraph"/>
      </w:pPr>
      <w:r>
        <w:t xml:space="preserve">This Experiment Protocol provides a structured approach to understanding the complex environment in which a Journalist operates in Kuwait City. By examining legal, cultural, and technological factors, this study will contribute valuable insights to the field of journalism and support efforts to enhance media professionalism and freedom in Kuwait.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 Kuwait City</dc:title>
  <dc:creator/>
  <dc:language>en</dc:language>
  <cp:keywords/>
  <dcterms:created xsi:type="dcterms:W3CDTF">2026-10-10T02:10:00Z</dcterms:created>
  <dcterms:modified xsi:type="dcterms:W3CDTF">2026-10-10T02:10:00Z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