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Australia</w:t>
      </w:r>
      <w:r>
        <w:t xml:space="preserve"> </w:t>
      </w:r>
      <w:r>
        <w:t xml:space="preserve">Melbourne</w:t>
      </w:r>
    </w:p>
    <w:bookmarkStart w:id="20" w:name="Xd2b3781d69326659c081caa16e748eb894dd77e"/>
    <w:p>
      <w:pPr>
        <w:pStyle w:val="Heading1"/>
      </w:pPr>
      <w:r>
        <w:t xml:space="preserve">Experiment Protocol: Judicial Decision-Making in Australia Melbourne</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Melbourne, Victoria, Australia</w:t>
      </w:r>
      <w:r>
        <w:br/>
      </w:r>
      <w:r>
        <w:rPr>
          <w:bCs/>
          <w:b/>
        </w:rPr>
        <w:t xml:space="preserve">Prepared by:</w:t>
      </w:r>
      <w:r>
        <w:t xml:space="preserve"> </w:t>
      </w:r>
      <w:r>
        <w:t xml:space="preserve">Research Ethics and Methodology Team</w:t>
      </w:r>
    </w:p>
    <w:bookmarkEnd w:id="20"/>
    <w:bookmarkStart w:id="21" w:name="introduction"/>
    <w:p>
      <w:pPr>
        <w:pStyle w:val="Heading2"/>
      </w:pPr>
      <w:r>
        <w:t xml:space="preserve">1. Introduction</w:t>
      </w:r>
    </w:p>
    <w:p>
      <w:pPr>
        <w:pStyle w:val="FirstParagraph"/>
      </w:pPr>
      <w:r>
        <w:t xml:space="preserve">This Experiment Protocol outlines the procedures for conducting a study focused on the role of the Judge within the legal system of Australia Melbourne. The primary objective is to examine judicial decision-making processes, biases, and the influence of contextual factors on rulings in Melbourne’s courts. This study is designed to provide empirical insights into how judges interpret laws, apply precedents, and balance legal principles with societal values in the Australian context.</w:t>
      </w:r>
    </w:p>
    <w:p>
      <w:pPr>
        <w:pStyle w:val="BodyText"/>
      </w:pPr>
      <w:r>
        <w:t xml:space="preserve">The research will be conducted in compliance with Australian ethical standards, including the National Statement on Ethical Conduct in Human Research, and will involve collaboration with legal professionals, academics, and court administrators in Melbourne.</w:t>
      </w:r>
    </w:p>
    <w:bookmarkEnd w:id="21"/>
    <w:bookmarkStart w:id="22" w:name="objectives"/>
    <w:p>
      <w:pPr>
        <w:pStyle w:val="Heading2"/>
      </w:pPr>
      <w:r>
        <w:t xml:space="preserve">2. Objectives</w:t>
      </w:r>
    </w:p>
    <w:p>
      <w:pPr>
        <w:pStyle w:val="FirstParagraph"/>
      </w:pPr>
      <w:r>
        <w:t xml:space="preserve">The key objectives of this experiment are:</w:t>
      </w:r>
    </w:p>
    <w:p>
      <w:pPr>
        <w:numPr>
          <w:ilvl w:val="0"/>
          <w:numId w:val="1001"/>
        </w:numPr>
        <w:pStyle w:val="Compact"/>
      </w:pPr>
      <w:r>
        <w:t xml:space="preserve">To analyze the decision-making patterns of judges in Melbourne’s state and federal courts.</w:t>
      </w:r>
    </w:p>
    <w:p>
      <w:pPr>
        <w:numPr>
          <w:ilvl w:val="0"/>
          <w:numId w:val="1001"/>
        </w:numPr>
        <w:pStyle w:val="Compact"/>
      </w:pPr>
      <w:r>
        <w:t xml:space="preserve">To identify potential cognitive biases or external influences affecting judicial rulings.</w:t>
      </w:r>
    </w:p>
    <w:p>
      <w:pPr>
        <w:numPr>
          <w:ilvl w:val="0"/>
          <w:numId w:val="1001"/>
        </w:numPr>
        <w:pStyle w:val="Compact"/>
      </w:pPr>
      <w:r>
        <w:t xml:space="preserve">To assess the consistency of legal interpretations across different cases and judges.</w:t>
      </w:r>
    </w:p>
    <w:p>
      <w:pPr>
        <w:numPr>
          <w:ilvl w:val="0"/>
          <w:numId w:val="1001"/>
        </w:numPr>
        <w:pStyle w:val="Compact"/>
      </w:pPr>
      <w:r>
        <w:t xml:space="preserve">To evaluate the impact of procedural fairness and transparency on public trust in the judiciary.</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analysis of court records with qualitative interviews and observational data. The experiment will focus on cases heard in Melbourne’s Supreme Court, County Court, and Magistrates’ Court over a 12-month period.</w:t>
      </w:r>
    </w:p>
    <w:bookmarkEnd w:id="23"/>
    <w:bookmarkStart w:id="24" w:name="participants"/>
    <w:p>
      <w:pPr>
        <w:pStyle w:val="Heading3"/>
      </w:pPr>
      <w:r>
        <w:t xml:space="preserve">3.2 Participants</w:t>
      </w:r>
    </w:p>
    <w:p>
      <w:pPr>
        <w:pStyle w:val="FirstParagraph"/>
      </w:pPr>
      <w:r>
        <w:t xml:space="preserve">The participants in this study include:</w:t>
      </w:r>
    </w:p>
    <w:p>
      <w:pPr>
        <w:numPr>
          <w:ilvl w:val="0"/>
          <w:numId w:val="1002"/>
        </w:numPr>
        <w:pStyle w:val="Compact"/>
      </w:pPr>
      <w:r>
        <w:t xml:space="preserve">Judges: A sample of 20 judges from Melbourne’s courts, selected through stratified random sampling to ensure representation across different court levels and case types.</w:t>
      </w:r>
    </w:p>
    <w:p>
      <w:pPr>
        <w:numPr>
          <w:ilvl w:val="0"/>
          <w:numId w:val="1002"/>
        </w:numPr>
        <w:pStyle w:val="Compact"/>
      </w:pPr>
      <w:r>
        <w:t xml:space="preserve">Legal Professionals: Lawyers, barristers, and court staff involved in the selected cases.</w:t>
      </w:r>
    </w:p>
    <w:p>
      <w:pPr>
        <w:numPr>
          <w:ilvl w:val="0"/>
          <w:numId w:val="1002"/>
        </w:numPr>
        <w:pStyle w:val="Compact"/>
      </w:pPr>
      <w:r>
        <w:t xml:space="preserve">Members of the Public: Individuals who have interacted with the Melbourne judiciary, recruited through community outreach programs.</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Court Records:</w:t>
      </w:r>
      <w:r>
        <w:t xml:space="preserve"> </w:t>
      </w:r>
      <w:r>
        <w:t xml:space="preserve">Analysis of anonymized case files, judgments, and sentencing decisions.</w:t>
      </w:r>
    </w:p>
    <w:p>
      <w:pPr>
        <w:numPr>
          <w:ilvl w:val="0"/>
          <w:numId w:val="1003"/>
        </w:numPr>
        <w:pStyle w:val="Compact"/>
      </w:pPr>
      <w:r>
        <w:rPr>
          <w:bCs/>
          <w:b/>
        </w:rPr>
        <w:t xml:space="preserve">Interviews:</w:t>
      </w:r>
      <w:r>
        <w:t xml:space="preserve"> </w:t>
      </w:r>
      <w:r>
        <w:t xml:space="preserve">Semi-structured interviews with judges and legal professionals to explore their decision-making processes.</w:t>
      </w:r>
    </w:p>
    <w:p>
      <w:pPr>
        <w:numPr>
          <w:ilvl w:val="0"/>
          <w:numId w:val="1003"/>
        </w:numPr>
        <w:pStyle w:val="Compact"/>
      </w:pPr>
      <w:r>
        <w:rPr>
          <w:bCs/>
          <w:b/>
        </w:rPr>
        <w:t xml:space="preserve">Observations:</w:t>
      </w:r>
      <w:r>
        <w:t xml:space="preserve"> </w:t>
      </w:r>
      <w:r>
        <w:t xml:space="preserve">Ethical observation of court proceedings to document interactions and procedural dynamics.</w:t>
      </w:r>
    </w:p>
    <w:p>
      <w:pPr>
        <w:numPr>
          <w:ilvl w:val="0"/>
          <w:numId w:val="1003"/>
        </w:numPr>
        <w:pStyle w:val="Compact"/>
      </w:pPr>
      <w:r>
        <w:rPr>
          <w:bCs/>
          <w:b/>
        </w:rPr>
        <w:t xml:space="preserve">Surveys:</w:t>
      </w:r>
      <w:r>
        <w:t xml:space="preserve"> </w:t>
      </w:r>
      <w:r>
        <w:t xml:space="preserve">Questionnaires distributed to members of the public to gauge perceptions of judicial fairness and transparency.</w:t>
      </w:r>
    </w:p>
    <w:bookmarkEnd w:id="25"/>
    <w:bookmarkEnd w:id="26"/>
    <w:bookmarkStart w:id="27" w:name="ethical-considerations"/>
    <w:p>
      <w:pPr>
        <w:pStyle w:val="Heading2"/>
      </w:pPr>
      <w:r>
        <w:t xml:space="preserve">4. Ethical Considerations</w:t>
      </w:r>
    </w:p>
    <w:p>
      <w:pPr>
        <w:pStyle w:val="FirstParagraph"/>
      </w:pPr>
      <w:r>
        <w:t xml:space="preserve">This study adheres to the highest ethical standards to protect the rights and well-being of all participants. Key ethical considerations include:</w:t>
      </w:r>
    </w:p>
    <w:p>
      <w:pPr>
        <w:numPr>
          <w:ilvl w:val="0"/>
          <w:numId w:val="1004"/>
        </w:numPr>
        <w:pStyle w:val="Compact"/>
      </w:pPr>
      <w:r>
        <w:rPr>
          <w:bCs/>
          <w:b/>
        </w:rPr>
        <w:t xml:space="preserve">Informed Consent:</w:t>
      </w:r>
      <w:r>
        <w:t xml:space="preserve"> </w:t>
      </w:r>
      <w:r>
        <w:t xml:space="preserve">All participants will provide written informed consent after being fully briefed on the study’s purpose, procedures, and potential risks.</w:t>
      </w:r>
    </w:p>
    <w:p>
      <w:pPr>
        <w:numPr>
          <w:ilvl w:val="0"/>
          <w:numId w:val="1004"/>
        </w:numPr>
        <w:pStyle w:val="Compact"/>
      </w:pPr>
      <w:r>
        <w:rPr>
          <w:bCs/>
          <w:b/>
        </w:rPr>
        <w:t xml:space="preserve">Confidentiality:</w:t>
      </w:r>
      <w:r>
        <w:t xml:space="preserve"> </w:t>
      </w:r>
      <w:r>
        <w:t xml:space="preserve">Personal and case-specific information will be anonymized to ensure privacy and compliance with Australian privacy laws.</w:t>
      </w:r>
    </w:p>
    <w:p>
      <w:pPr>
        <w:numPr>
          <w:ilvl w:val="0"/>
          <w:numId w:val="1004"/>
        </w:numPr>
        <w:pStyle w:val="Compact"/>
      </w:pPr>
      <w:r>
        <w:rPr>
          <w:bCs/>
          <w:b/>
        </w:rPr>
        <w:t xml:space="preserve">Impartiality:</w:t>
      </w:r>
      <w:r>
        <w:t xml:space="preserve"> </w:t>
      </w:r>
      <w:r>
        <w:t xml:space="preserve">The research team will maintain strict neutrality to avoid influencing judicial decisions or court proceedings.</w:t>
      </w:r>
    </w:p>
    <w:p>
      <w:pPr>
        <w:numPr>
          <w:ilvl w:val="0"/>
          <w:numId w:val="1004"/>
        </w:numPr>
        <w:pStyle w:val="Compact"/>
      </w:pPr>
      <w:r>
        <w:rPr>
          <w:bCs/>
          <w:b/>
        </w:rPr>
        <w:t xml:space="preserve">Ethics Approval:</w:t>
      </w:r>
      <w:r>
        <w:t xml:space="preserve"> </w:t>
      </w:r>
      <w:r>
        <w:t xml:space="preserve">The protocol has been reviewed and approved by the relevant Human Research Ethics Committee (HREC) in Victoria.</w:t>
      </w:r>
    </w:p>
    <w:bookmarkEnd w:id="27"/>
    <w:bookmarkStart w:id="31" w:name="procedure"/>
    <w:p>
      <w:pPr>
        <w:pStyle w:val="Heading2"/>
      </w:pPr>
      <w:r>
        <w:t xml:space="preserve">5. Procedure</w:t>
      </w:r>
    </w:p>
    <w:bookmarkStart w:id="28" w:name="phase-1-data-collection"/>
    <w:p>
      <w:pPr>
        <w:pStyle w:val="Heading3"/>
      </w:pPr>
      <w:r>
        <w:t xml:space="preserve">5.1 Phase 1: Data Collection</w:t>
      </w:r>
    </w:p>
    <w:p>
      <w:pPr>
        <w:pStyle w:val="FirstParagraph"/>
      </w:pPr>
      <w:r>
        <w:t xml:space="preserve">During the first six months, the research team will collect court records, conduct interviews, and observe court proceedings. Judges will be asked to participate in structured interviews to discuss their approaches to case evaluation and decision-making.</w:t>
      </w:r>
    </w:p>
    <w:bookmarkEnd w:id="28"/>
    <w:bookmarkStart w:id="29" w:name="phase-2-data-analysis"/>
    <w:p>
      <w:pPr>
        <w:pStyle w:val="Heading3"/>
      </w:pPr>
      <w:r>
        <w:t xml:space="preserve">5.2 Phase 2: Data Analysis</w:t>
      </w:r>
    </w:p>
    <w:p>
      <w:pPr>
        <w:pStyle w:val="FirstParagraph"/>
      </w:pPr>
      <w:r>
        <w:t xml:space="preserve">In the subsequent six months, the collected data will be analyzed using statistical tools and thematic analysis techniques. Quantitative data will be used to identify trends in judicial decisions, while qualitative data will provide deeper insights into the reasoning behind rulings.</w:t>
      </w:r>
    </w:p>
    <w:bookmarkEnd w:id="29"/>
    <w:bookmarkStart w:id="30" w:name="phase-3-reporting"/>
    <w:p>
      <w:pPr>
        <w:pStyle w:val="Heading3"/>
      </w:pPr>
      <w:r>
        <w:t xml:space="preserve">5.3 Phase 3: Reporting</w:t>
      </w:r>
    </w:p>
    <w:p>
      <w:pPr>
        <w:pStyle w:val="FirstParagraph"/>
      </w:pPr>
      <w:r>
        <w:t xml:space="preserve">The findings will be compiled into a comprehensive report, which will be shared with stakeholders, including the judiciary, legal professionals, and policymakers in Australia Melbourne. The report will also be published in peer-reviewed journals to contribute to the broader academic discourse on judicial decision-making.</w:t>
      </w:r>
    </w:p>
    <w:bookmarkEnd w:id="30"/>
    <w:bookmarkEnd w:id="31"/>
    <w:bookmarkStart w:id="32" w:name="expected-outcomes"/>
    <w:p>
      <w:pPr>
        <w:pStyle w:val="Heading2"/>
      </w:pPr>
      <w:r>
        <w:t xml:space="preserve">6. Expected Outcomes</w:t>
      </w:r>
    </w:p>
    <w:p>
      <w:pPr>
        <w:pStyle w:val="FirstParagraph"/>
      </w:pPr>
      <w:r>
        <w:t xml:space="preserve">This experiment aims to achieve the following outcomes:</w:t>
      </w:r>
    </w:p>
    <w:p>
      <w:pPr>
        <w:numPr>
          <w:ilvl w:val="0"/>
          <w:numId w:val="1005"/>
        </w:numPr>
        <w:pStyle w:val="Compact"/>
      </w:pPr>
      <w:r>
        <w:t xml:space="preserve">A detailed understanding of the factors influencing judicial decisions in Melbourne’s courts.</w:t>
      </w:r>
    </w:p>
    <w:p>
      <w:pPr>
        <w:numPr>
          <w:ilvl w:val="0"/>
          <w:numId w:val="1005"/>
        </w:numPr>
        <w:pStyle w:val="Compact"/>
      </w:pPr>
      <w:r>
        <w:t xml:space="preserve">Identification of areas where additional training or guidelines may be needed to enhance judicial consistency and fairness.</w:t>
      </w:r>
    </w:p>
    <w:p>
      <w:pPr>
        <w:numPr>
          <w:ilvl w:val="0"/>
          <w:numId w:val="1005"/>
        </w:numPr>
        <w:pStyle w:val="Compact"/>
      </w:pPr>
      <w:r>
        <w:t xml:space="preserve">Recommendations for improving transparency and public trust in the Australian judiciary.</w:t>
      </w:r>
    </w:p>
    <w:p>
      <w:pPr>
        <w:numPr>
          <w:ilvl w:val="0"/>
          <w:numId w:val="1005"/>
        </w:numPr>
        <w:pStyle w:val="Compact"/>
      </w:pPr>
      <w:r>
        <w:t xml:space="preserve">Contributions to the global literature on judicial behavior and decision-making.</w:t>
      </w:r>
    </w:p>
    <w:bookmarkEnd w:id="32"/>
    <w:bookmarkStart w:id="33" w:name="limitations"/>
    <w:p>
      <w:pPr>
        <w:pStyle w:val="Heading2"/>
      </w:pPr>
      <w:r>
        <w:t xml:space="preserve">7. Limitations</w:t>
      </w:r>
    </w:p>
    <w:p>
      <w:pPr>
        <w:pStyle w:val="FirstParagraph"/>
      </w:pPr>
      <w:r>
        <w:t xml:space="preserve">While this study is designed to provide valuable insights, it has certain limitations:</w:t>
      </w:r>
    </w:p>
    <w:p>
      <w:pPr>
        <w:numPr>
          <w:ilvl w:val="0"/>
          <w:numId w:val="1006"/>
        </w:numPr>
        <w:pStyle w:val="Compact"/>
      </w:pPr>
      <w:r>
        <w:t xml:space="preserve">The sample size may not fully represent all judges in Australia Melbourne.</w:t>
      </w:r>
    </w:p>
    <w:p>
      <w:pPr>
        <w:numPr>
          <w:ilvl w:val="0"/>
          <w:numId w:val="1006"/>
        </w:numPr>
        <w:pStyle w:val="Compact"/>
      </w:pPr>
      <w:r>
        <w:t xml:space="preserve">Self-reported data from interviews may be subject to social desirability bias.</w:t>
      </w:r>
    </w:p>
    <w:p>
      <w:pPr>
        <w:numPr>
          <w:ilvl w:val="0"/>
          <w:numId w:val="1006"/>
        </w:numPr>
        <w:pStyle w:val="Compact"/>
      </w:pPr>
      <w:r>
        <w:t xml:space="preserve">Observational data may be limited by ethical constraints on courtroom access.</w:t>
      </w:r>
    </w:p>
    <w:bookmarkEnd w:id="33"/>
    <w:bookmarkStart w:id="34" w:name="conclusion"/>
    <w:p>
      <w:pPr>
        <w:pStyle w:val="Heading2"/>
      </w:pPr>
      <w:r>
        <w:t xml:space="preserve">8. Conclusion</w:t>
      </w:r>
    </w:p>
    <w:p>
      <w:pPr>
        <w:pStyle w:val="FirstParagraph"/>
      </w:pPr>
      <w:r>
        <w:t xml:space="preserve">This Experiment Protocol provides a robust framework for studying the role of the Judge in Australia Melbourne. By combining rigorous methodology with ethical considerations, the study aims to advance our understanding of judicial decision-making and contribute to the ongoing improvement of the legal system. The findings will be instrumental in shaping policies and practices that uphold the principles of justice, fairness, and accountability in Melbourne’s courts.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Australia Melbourne</dc:title>
  <dc:creator/>
  <dc:language>en</dc:language>
  <cp:keywords/>
  <dcterms:created xsi:type="dcterms:W3CDTF">2026-10-10T02:10:10Z</dcterms:created>
  <dcterms:modified xsi:type="dcterms:W3CDTF">2026-10-10T02:10:10Z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