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Australia</w:t>
      </w:r>
      <w:r>
        <w:t xml:space="preserve"> </w:t>
      </w:r>
      <w:r>
        <w:t xml:space="preserve">Sydney</w:t>
      </w:r>
    </w:p>
    <w:bookmarkStart w:id="34" w:name="X811855a73dc37fd8a00ca3a5c58f5e208c650a1"/>
    <w:p>
      <w:pPr>
        <w:pStyle w:val="Heading1"/>
      </w:pPr>
      <w:r>
        <w:t xml:space="preserve">Experiment Protocol: Judicial Decision-Making in Australia Sydney</w:t>
      </w:r>
    </w:p>
    <w:bookmarkStart w:id="20" w:name="title"/>
    <w:p>
      <w:pPr>
        <w:pStyle w:val="Heading2"/>
      </w:pPr>
      <w:r>
        <w:t xml:space="preserve">1. Title</w:t>
      </w:r>
    </w:p>
    <w:p>
      <w:pPr>
        <w:pStyle w:val="FirstParagraph"/>
      </w:pPr>
      <w:r>
        <w:rPr>
          <w:bCs/>
          <w:b/>
        </w:rPr>
        <w:t xml:space="preserve">Assessing Cognitive Biases and Decision-Making Patterns of Judges in Australia Sydney: A Controlled Experiment Protocol</w:t>
      </w:r>
    </w:p>
    <w:bookmarkEnd w:id="20"/>
    <w:bookmarkStart w:id="21" w:name="introduction"/>
    <w:p>
      <w:pPr>
        <w:pStyle w:val="Heading2"/>
      </w:pPr>
      <w:r>
        <w:t xml:space="preserve">2. Introduction</w:t>
      </w:r>
    </w:p>
    <w:p>
      <w:pPr>
        <w:pStyle w:val="FirstParagraph"/>
      </w:pPr>
      <w:r>
        <w:t xml:space="preserve">This Experiment Protocol outlines the methodology for a study investigating the decision-making processes of judges operating within the legal framework of Australia Sydney. The primary objective is to evaluate how cognitive biases, procedural constraints, and contextual factors influence judicial rulings in real-world scenarios. By focusing on judges in Australia Sydney, this study aims to provide insights specific to the local legal culture, case load pressures, and statutory requirements that shape judicial behavior.</w:t>
      </w:r>
    </w:p>
    <w:p>
      <w:pPr>
        <w:pStyle w:val="BodyText"/>
      </w:pPr>
      <w:r>
        <w:t xml:space="preserve">The term "Judge" in this context refers to legally appointed judicial officers presiding over civil, criminal, or administrative cases in courts located in Australia Sydney. The study will not interfere with actual court proceedings but will use simulated case materials to assess decision-making patterns in a controlled environment.</w:t>
      </w:r>
    </w:p>
    <w:bookmarkEnd w:id="21"/>
    <w:bookmarkStart w:id="22" w:name="objectives"/>
    <w:p>
      <w:pPr>
        <w:pStyle w:val="Heading2"/>
      </w:pPr>
      <w:r>
        <w:t xml:space="preserve">3. Objectives</w:t>
      </w:r>
    </w:p>
    <w:p>
      <w:pPr>
        <w:numPr>
          <w:ilvl w:val="0"/>
          <w:numId w:val="1001"/>
        </w:numPr>
        <w:pStyle w:val="Compact"/>
      </w:pPr>
      <w:r>
        <w:t xml:space="preserve">To identify common cognitive biases affecting judicial decisions in Australia Sydney.</w:t>
      </w:r>
    </w:p>
    <w:p>
      <w:pPr>
        <w:numPr>
          <w:ilvl w:val="0"/>
          <w:numId w:val="1001"/>
        </w:numPr>
        <w:pStyle w:val="Compact"/>
      </w:pPr>
      <w:r>
        <w:t xml:space="preserve">To examine the impact of case complexity, time pressure, and external information on judicial rulings.</w:t>
      </w:r>
    </w:p>
    <w:p>
      <w:pPr>
        <w:numPr>
          <w:ilvl w:val="0"/>
          <w:numId w:val="1001"/>
        </w:numPr>
        <w:pStyle w:val="Compact"/>
      </w:pPr>
      <w:r>
        <w:t xml:space="preserve">To compare decision-making consistency across different types of cases handled by judges in Australia Sydney.</w:t>
      </w:r>
    </w:p>
    <w:p>
      <w:pPr>
        <w:numPr>
          <w:ilvl w:val="0"/>
          <w:numId w:val="1001"/>
        </w:numPr>
        <w:pStyle w:val="Compact"/>
      </w:pPr>
      <w:r>
        <w:t xml:space="preserve">To provide evidence-based recommendations for improving judicial training and decision-making support systems.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will employ a mixed-methods approach, combining quantitative analysis of decision outcomes with qualitative interviews of participating judges. The experiment will be conducted in a controlled setting, using realistic but fictional case scenarios designed to reflect typical cases heard in courts in Australia Sydney.</w:t>
      </w:r>
    </w:p>
    <w:bookmarkEnd w:id="23"/>
    <w:bookmarkStart w:id="24" w:name="participants"/>
    <w:p>
      <w:pPr>
        <w:pStyle w:val="Heading3"/>
      </w:pPr>
      <w:r>
        <w:t xml:space="preserve">4.2 Participants</w:t>
      </w:r>
    </w:p>
    <w:p>
      <w:pPr>
        <w:pStyle w:val="FirstParagraph"/>
      </w:pPr>
      <w:r>
        <w:t xml:space="preserve">Participants will include:</w:t>
      </w:r>
    </w:p>
    <w:p>
      <w:pPr>
        <w:numPr>
          <w:ilvl w:val="0"/>
          <w:numId w:val="1002"/>
        </w:numPr>
        <w:pStyle w:val="Compact"/>
      </w:pPr>
      <w:r>
        <w:t xml:space="preserve">Magistrates and judges currently serving in courts in Australia Sydney.</w:t>
      </w:r>
    </w:p>
    <w:p>
      <w:pPr>
        <w:numPr>
          <w:ilvl w:val="0"/>
          <w:numId w:val="1002"/>
        </w:numPr>
        <w:pStyle w:val="Compact"/>
      </w:pPr>
      <w:r>
        <w:t xml:space="preserve">Legal professionals with judicial training who have presided over cases in Australia Sydney.</w:t>
      </w:r>
    </w:p>
    <w:p>
      <w:pPr>
        <w:pStyle w:val="FirstParagraph"/>
      </w:pPr>
      <w:r>
        <w:t xml:space="preserve">Participants will be recruited through official channels in collaboration with the New South Wales Judicial Commission. Informed consent will be obtained from all participants, ensuring confidentiality and voluntary participation.</w:t>
      </w:r>
    </w:p>
    <w:bookmarkEnd w:id="24"/>
    <w:bookmarkStart w:id="25" w:name="materials"/>
    <w:p>
      <w:pPr>
        <w:pStyle w:val="Heading3"/>
      </w:pPr>
      <w:r>
        <w:t xml:space="preserve">4.3 Materials</w:t>
      </w:r>
    </w:p>
    <w:p>
      <w:pPr>
        <w:pStyle w:val="FirstParagraph"/>
      </w:pPr>
      <w:r>
        <w:t xml:space="preserve">Case scenarios will be developed by a panel of legal experts familiar with the laws and practices in Australia Sydney. Each scenario will include:</w:t>
      </w:r>
    </w:p>
    <w:p>
      <w:pPr>
        <w:numPr>
          <w:ilvl w:val="0"/>
          <w:numId w:val="1003"/>
        </w:numPr>
        <w:pStyle w:val="Compact"/>
      </w:pPr>
      <w:r>
        <w:t xml:space="preserve">Factual background of the case.</w:t>
      </w:r>
    </w:p>
    <w:p>
      <w:pPr>
        <w:numPr>
          <w:ilvl w:val="0"/>
          <w:numId w:val="1003"/>
        </w:numPr>
        <w:pStyle w:val="Compact"/>
      </w:pPr>
      <w:r>
        <w:t xml:space="preserve">Relevant legal statutes and precedents applicable in Australia Sydney.</w:t>
      </w:r>
    </w:p>
    <w:p>
      <w:pPr>
        <w:numPr>
          <w:ilvl w:val="0"/>
          <w:numId w:val="1003"/>
        </w:numPr>
        <w:pStyle w:val="Compact"/>
      </w:pPr>
      <w:r>
        <w:t xml:space="preserve">Witness statements, evidence summaries, and procedural history.</w:t>
      </w:r>
    </w:p>
    <w:p>
      <w:pPr>
        <w:numPr>
          <w:ilvl w:val="0"/>
          <w:numId w:val="1003"/>
        </w:numPr>
        <w:pStyle w:val="Compact"/>
      </w:pPr>
      <w:r>
        <w:t xml:space="preserve">Variables such as defendant demographics, case complexity, and time constraints.</w:t>
      </w:r>
    </w:p>
    <w:bookmarkEnd w:id="25"/>
    <w:bookmarkStart w:id="26" w:name="procedure"/>
    <w:p>
      <w:pPr>
        <w:pStyle w:val="Heading3"/>
      </w:pPr>
      <w:r>
        <w:t xml:space="preserve">4.4 Procedure</w:t>
      </w:r>
    </w:p>
    <w:p>
      <w:pPr>
        <w:numPr>
          <w:ilvl w:val="0"/>
          <w:numId w:val="1004"/>
        </w:numPr>
        <w:pStyle w:val="Compact"/>
      </w:pPr>
      <w:r>
        <w:t xml:space="preserve">Participants will be briefed on the purpose of the study and provided with instructions.</w:t>
      </w:r>
    </w:p>
    <w:p>
      <w:pPr>
        <w:numPr>
          <w:ilvl w:val="0"/>
          <w:numId w:val="1004"/>
        </w:numPr>
        <w:pStyle w:val="Compact"/>
      </w:pPr>
      <w:r>
        <w:t xml:space="preserve">Each participant will review a set of case scenarios and make decisions based on the provided information.</w:t>
      </w:r>
    </w:p>
    <w:p>
      <w:pPr>
        <w:numPr>
          <w:ilvl w:val="0"/>
          <w:numId w:val="1004"/>
        </w:numPr>
        <w:pStyle w:val="Compact"/>
      </w:pPr>
      <w:r>
        <w:t xml:space="preserve">Decisions will be recorded, including the rationale and any additional considerations.</w:t>
      </w:r>
    </w:p>
    <w:p>
      <w:pPr>
        <w:numPr>
          <w:ilvl w:val="0"/>
          <w:numId w:val="1004"/>
        </w:numPr>
        <w:pStyle w:val="Compact"/>
      </w:pPr>
      <w:r>
        <w:t xml:space="preserve">Participants will complete a questionnaire assessing their confidence, perceived biases, and decision-making strategies.</w:t>
      </w:r>
    </w:p>
    <w:p>
      <w:pPr>
        <w:numPr>
          <w:ilvl w:val="0"/>
          <w:numId w:val="1004"/>
        </w:numPr>
        <w:pStyle w:val="Compact"/>
      </w:pPr>
      <w:r>
        <w:t xml:space="preserve">A subset of participants will be interviewed to gain deeper insights into their thought processes.</w:t>
      </w:r>
    </w:p>
    <w:bookmarkEnd w:id="26"/>
    <w:bookmarkEnd w:id="27"/>
    <w:bookmarkStart w:id="28" w:name="variables"/>
    <w:p>
      <w:pPr>
        <w:pStyle w:val="Heading2"/>
      </w:pPr>
      <w:r>
        <w:t xml:space="preserve">5.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Variables</w:t>
            </w:r>
          </w:p>
        </w:tc>
        <w:tc>
          <w:tcPr/>
          <w:p>
            <w:pPr>
              <w:pStyle w:val="Compact"/>
              <w:jc w:val="left"/>
            </w:pPr>
            <w:r>
              <w:t xml:space="preserve">Case complexity, time pressure, defendant characteristics, presence of ambiguous evidence.</w:t>
            </w:r>
          </w:p>
        </w:tc>
      </w:tr>
      <w:tr>
        <w:tc>
          <w:tcPr/>
          <w:p>
            <w:pPr>
              <w:pStyle w:val="Compact"/>
              <w:jc w:val="left"/>
            </w:pPr>
            <w:r>
              <w:t xml:space="preserve">Dependent Variables</w:t>
            </w:r>
          </w:p>
        </w:tc>
        <w:tc>
          <w:tcPr/>
          <w:p>
            <w:pPr>
              <w:pStyle w:val="Compact"/>
              <w:jc w:val="left"/>
            </w:pPr>
            <w:r>
              <w:t xml:space="preserve">Judicial decisions (e.g., guilty/not guilty, sentencing length), decision consistency, rationale quality.</w:t>
            </w:r>
          </w:p>
        </w:tc>
      </w:tr>
      <w:tr>
        <w:tc>
          <w:tcPr/>
          <w:p>
            <w:pPr>
              <w:pStyle w:val="Compact"/>
              <w:jc w:val="left"/>
            </w:pPr>
            <w:r>
              <w:t xml:space="preserve">Control Variables</w:t>
            </w:r>
          </w:p>
        </w:tc>
        <w:tc>
          <w:tcPr/>
          <w:p>
            <w:pPr>
              <w:pStyle w:val="Compact"/>
              <w:jc w:val="left"/>
            </w:pPr>
            <w:r>
              <w:t xml:space="preserve">Legal framework, case type, participant experience level.</w:t>
            </w:r>
          </w:p>
        </w:tc>
      </w:tr>
    </w:tbl>
    <w:bookmarkEnd w:id="28"/>
    <w:bookmarkStart w:id="29" w:name="ethical-considerations"/>
    <w:p>
      <w:pPr>
        <w:pStyle w:val="Heading2"/>
      </w:pPr>
      <w:r>
        <w:t xml:space="preserve">6. Ethical Considerations</w:t>
      </w:r>
    </w:p>
    <w:p>
      <w:pPr>
        <w:pStyle w:val="FirstParagraph"/>
      </w:pPr>
      <w:r>
        <w:t xml:space="preserve">This study will adhere to ethical guidelines set by the National Health and Medical Research Council (NHMRC) of Australia. Key ethical considerations include:</w:t>
      </w:r>
    </w:p>
    <w:p>
      <w:pPr>
        <w:numPr>
          <w:ilvl w:val="0"/>
          <w:numId w:val="1005"/>
        </w:numPr>
        <w:pStyle w:val="Compact"/>
      </w:pPr>
      <w:r>
        <w:t xml:space="preserve">Ensuring informed consent from all participants.</w:t>
      </w:r>
    </w:p>
    <w:p>
      <w:pPr>
        <w:numPr>
          <w:ilvl w:val="0"/>
          <w:numId w:val="1005"/>
        </w:numPr>
        <w:pStyle w:val="Compact"/>
      </w:pPr>
      <w:r>
        <w:t xml:space="preserve">Maintaining confidentiality and anonymity of participants and their decisions.</w:t>
      </w:r>
    </w:p>
    <w:p>
      <w:pPr>
        <w:numPr>
          <w:ilvl w:val="0"/>
          <w:numId w:val="1005"/>
        </w:numPr>
        <w:pStyle w:val="Compact"/>
      </w:pPr>
      <w:r>
        <w:t xml:space="preserve">Avoiding any interference with actual judicial proceedings in Australia Sydney.</w:t>
      </w:r>
    </w:p>
    <w:p>
      <w:pPr>
        <w:numPr>
          <w:ilvl w:val="0"/>
          <w:numId w:val="1005"/>
        </w:numPr>
        <w:pStyle w:val="Compact"/>
      </w:pPr>
      <w:r>
        <w:t xml:space="preserve">Providing participants with the option to withdraw from the study at any time without penalty.</w:t>
      </w:r>
    </w:p>
    <w:bookmarkEnd w:id="29"/>
    <w:bookmarkStart w:id="30" w:name="data-analysis"/>
    <w:p>
      <w:pPr>
        <w:pStyle w:val="Heading2"/>
      </w:pPr>
      <w:r>
        <w:t xml:space="preserve">7. Data Analysis</w:t>
      </w:r>
    </w:p>
    <w:p>
      <w:pPr>
        <w:pStyle w:val="FirstParagraph"/>
      </w:pPr>
      <w:r>
        <w:t xml:space="preserve">Quantitative data will be analyzed using statistical methods to identify patterns and correlations between variables and judicial decisions. Qualitative data from interviews will be thematically analyzed to explore underlying factors influencing decision-making. Results will be triangulated to ensure validity and reliability.</w:t>
      </w:r>
    </w:p>
    <w:bookmarkEnd w:id="30"/>
    <w:bookmarkStart w:id="31" w:name="expected-outcomes"/>
    <w:p>
      <w:pPr>
        <w:pStyle w:val="Heading2"/>
      </w:pPr>
      <w:r>
        <w:t xml:space="preserve">8. Expected Outcomes</w:t>
      </w:r>
    </w:p>
    <w:p>
      <w:pPr>
        <w:pStyle w:val="FirstParagraph"/>
      </w:pPr>
      <w:r>
        <w:t xml:space="preserve">This Experiment Protocol anticipates identifying specific cognitive biases and contextual factors that influence judicial decisions in Australia Sydney. The findings will contribute to a better understanding of judicial behavior and inform strategies for enhancing decision-making accuracy and fairness in the legal system of Australia Sydney.</w:t>
      </w:r>
    </w:p>
    <w:bookmarkEnd w:id="31"/>
    <w:bookmarkStart w:id="32" w:name="timeline"/>
    <w:p>
      <w:pPr>
        <w:pStyle w:val="Heading2"/>
      </w:pPr>
      <w:r>
        <w:t xml:space="preserve">9. Timeline</w:t>
      </w:r>
    </w:p>
    <w:p>
      <w:pPr>
        <w:numPr>
          <w:ilvl w:val="0"/>
          <w:numId w:val="1006"/>
        </w:numPr>
        <w:pStyle w:val="Compact"/>
      </w:pPr>
      <w:r>
        <w:t xml:space="preserve">Month 1-2: Protocol finalization and ethical approval.</w:t>
      </w:r>
    </w:p>
    <w:p>
      <w:pPr>
        <w:numPr>
          <w:ilvl w:val="0"/>
          <w:numId w:val="1006"/>
        </w:numPr>
        <w:pStyle w:val="Compact"/>
      </w:pPr>
      <w:r>
        <w:t xml:space="preserve">Month 3-4: Recruitment of participants and development of case scenarios.</w:t>
      </w:r>
    </w:p>
    <w:p>
      <w:pPr>
        <w:numPr>
          <w:ilvl w:val="0"/>
          <w:numId w:val="1006"/>
        </w:numPr>
        <w:pStyle w:val="Compact"/>
      </w:pPr>
      <w:r>
        <w:t xml:space="preserve">Month 5-7: Data collection through experiments and interviews.</w:t>
      </w:r>
    </w:p>
    <w:p>
      <w:pPr>
        <w:numPr>
          <w:ilvl w:val="0"/>
          <w:numId w:val="1006"/>
        </w:numPr>
        <w:pStyle w:val="Compact"/>
      </w:pPr>
      <w:r>
        <w:t xml:space="preserve">Month 8-9: Data analysis.</w:t>
      </w:r>
    </w:p>
    <w:p>
      <w:pPr>
        <w:numPr>
          <w:ilvl w:val="0"/>
          <w:numId w:val="1006"/>
        </w:numPr>
        <w:pStyle w:val="Compact"/>
      </w:pPr>
      <w:r>
        <w:t xml:space="preserve">Month 10: Reporting and dissemination of findings.</w:t>
      </w:r>
    </w:p>
    <w:bookmarkEnd w:id="32"/>
    <w:bookmarkStart w:id="33" w:name="conclusion"/>
    <w:p>
      <w:pPr>
        <w:pStyle w:val="Heading2"/>
      </w:pPr>
      <w:r>
        <w:t xml:space="preserve">10. Conclusion</w:t>
      </w:r>
    </w:p>
    <w:p>
      <w:pPr>
        <w:pStyle w:val="FirstParagraph"/>
      </w:pPr>
      <w:r>
        <w:t xml:space="preserve">This Experiment Protocol provides a structured approach to studying the decision-making processes of judges in Australia Sydney. By focusing on real-world relevant scenarios and adhering to rigorous ethical and methodological standards, the study aims to generate valuable insights that can improve judicial practice and public trust in the legal system of Australia Sydney.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Australia Sydney</dc:title>
  <dc:creator/>
  <dc:language>en</dc:language>
  <cp:keywords/>
  <dcterms:created xsi:type="dcterms:W3CDTF">2026-10-10T02:29:43Z</dcterms:created>
  <dcterms:modified xsi:type="dcterms:W3CDTF">2026-10-10T02:29:43Z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