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Judicial</w:t>
      </w:r>
      <w:r>
        <w:t xml:space="preserve"> </w:t>
      </w:r>
      <w:r>
        <w:t xml:space="preserve">Decision-Making</w:t>
      </w:r>
      <w:r>
        <w:t xml:space="preserve"> </w:t>
      </w:r>
      <w:r>
        <w:t xml:space="preserve">in</w:t>
      </w:r>
      <w:r>
        <w:t xml:space="preserve"> </w:t>
      </w:r>
      <w:r>
        <w:t xml:space="preserve">Canada</w:t>
      </w:r>
      <w:r>
        <w:t xml:space="preserve"> </w:t>
      </w:r>
      <w:r>
        <w:t xml:space="preserve">Toronto</w:t>
      </w:r>
    </w:p>
    <w:bookmarkStart w:id="20" w:name="X95ad3bc63f68b5e8b3e00b24995cf8fef66710d"/>
    <w:p>
      <w:pPr>
        <w:pStyle w:val="Heading1"/>
      </w:pPr>
      <w:r>
        <w:t xml:space="preserve">Experiment Protocol: Judicial Decision-Making in Canada Toronto</w:t>
      </w:r>
    </w:p>
    <w:p>
      <w:pPr>
        <w:pStyle w:val="FirstParagraph"/>
      </w:pPr>
      <w:r>
        <w:rPr>
          <w:bCs/>
          <w:b/>
        </w:rPr>
        <w:t xml:space="preserve">Document ID:</w:t>
      </w:r>
      <w:r>
        <w:t xml:space="preserve"> </w:t>
      </w:r>
      <w:r>
        <w:t xml:space="preserve">EP-JD-2024-001</w:t>
      </w:r>
    </w:p>
    <w:p>
      <w:pPr>
        <w:pStyle w:val="BodyText"/>
      </w:pPr>
      <w:r>
        <w:rPr>
          <w:bCs/>
          <w:b/>
        </w:rPr>
        <w:t xml:space="preserve">Date:</w:t>
      </w:r>
      <w:r>
        <w:t xml:space="preserve"> </w:t>
      </w:r>
      <w:r>
        <w:t xml:space="preserve">October 10, 2024</w:t>
      </w:r>
    </w:p>
    <w:p>
      <w:pPr>
        <w:pStyle w:val="BodyText"/>
      </w:pPr>
      <w:r>
        <w:rPr>
          <w:bCs/>
          <w:b/>
        </w:rPr>
        <w:t xml:space="preserve">Location:</w:t>
      </w:r>
      <w:r>
        <w:t xml:space="preserve"> </w:t>
      </w:r>
      <w:r>
        <w:t xml:space="preserve">Toronto, Ontario, Canada</w:t>
      </w:r>
    </w:p>
    <w:p>
      <w:pPr>
        <w:pStyle w:val="BodyText"/>
      </w:pPr>
      <w:r>
        <w:rPr>
          <w:bCs/>
          <w:b/>
        </w:rPr>
        <w:t xml:space="preserve">Prepared by:</w:t>
      </w:r>
      <w:r>
        <w:t xml:space="preserve"> </w:t>
      </w:r>
      <w:r>
        <w:t xml:space="preserve">Research Team on Judicial Processes</w:t>
      </w:r>
    </w:p>
    <w:bookmarkEnd w:id="20"/>
    <w:p>
      <w:pPr>
        <w:pStyle w:val="BodyText"/>
      </w:pPr>
      <w:r>
        <w:t xml:space="preserve">1. Introduction</w:t>
      </w:r>
    </w:p>
    <w:p>
      <w:pPr>
        <w:pStyle w:val="BodyText"/>
      </w:pPr>
      <w:r>
        <w:t xml:space="preserve">This Experiment Protocol outlines the methodology for studying the decision-making processes of judges within the legal system of Canada, specifically focusing on the jurisdiction of Toronto. The primary objective is to understand how judges interpret laws, apply precedents, and make rulings in various types of cases. This study aims to contribute to the broader understanding of judicial behavior and its implications for justice in urban settings like Toronto.</w:t>
      </w:r>
    </w:p>
    <w:p>
      <w:pPr>
        <w:pStyle w:val="BodyText"/>
      </w:pPr>
      <w:r>
        <w:t xml:space="preserve">2. Objectives</w:t>
      </w:r>
    </w:p>
    <w:p>
      <w:pPr>
        <w:pStyle w:val="BodyText"/>
      </w:pPr>
      <w:r>
        <w:t xml:space="preserve">The main objectives of this experiment are:</w:t>
      </w:r>
    </w:p>
    <w:p>
      <w:pPr>
        <w:numPr>
          <w:ilvl w:val="0"/>
          <w:numId w:val="1001"/>
        </w:numPr>
        <w:pStyle w:val="Compact"/>
      </w:pPr>
      <w:r>
        <w:t xml:space="preserve">To analyze the factors influencing judicial decisions in Toronto courts.</w:t>
      </w:r>
    </w:p>
    <w:p>
      <w:pPr>
        <w:numPr>
          <w:ilvl w:val="0"/>
          <w:numId w:val="1001"/>
        </w:numPr>
        <w:pStyle w:val="Compact"/>
      </w:pPr>
      <w:r>
        <w:t xml:space="preserve">To evaluate the consistency and fairness of rulings across different cases.</w:t>
      </w:r>
    </w:p>
    <w:p>
      <w:pPr>
        <w:numPr>
          <w:ilvl w:val="0"/>
          <w:numId w:val="1001"/>
        </w:numPr>
        <w:pStyle w:val="Compact"/>
      </w:pPr>
      <w:r>
        <w:t xml:space="preserve">To identify any biases or patterns in judicial behavior.</w:t>
      </w:r>
    </w:p>
    <w:p>
      <w:pPr>
        <w:numPr>
          <w:ilvl w:val="0"/>
          <w:numId w:val="1001"/>
        </w:numPr>
        <w:pStyle w:val="Compact"/>
      </w:pPr>
      <w:r>
        <w:t xml:space="preserve">To assess the impact of legal precedents and statutory interpretations on outcomes.</w:t>
      </w:r>
    </w:p>
    <w:p>
      <w:pPr>
        <w:pStyle w:val="FirstParagraph"/>
      </w:pPr>
      <w:r>
        <w:t xml:space="preserve">3. Methodology</w:t>
      </w:r>
    </w:p>
    <w:p>
      <w:pPr>
        <w:pStyle w:val="BodyText"/>
      </w:pPr>
      <w:r>
        <w:t xml:space="preserve">The experiment will employ a mixed-methods approach, combining quantitative data analysis with qualitative insights. The following steps will be taken:</w:t>
      </w:r>
    </w:p>
    <w:p>
      <w:pPr>
        <w:numPr>
          <w:ilvl w:val="0"/>
          <w:numId w:val="1002"/>
        </w:numPr>
        <w:pStyle w:val="Compact"/>
      </w:pPr>
      <w:r>
        <w:rPr>
          <w:bCs/>
          <w:b/>
        </w:rPr>
        <w:t xml:space="preserve">Data Collection:</w:t>
      </w:r>
      <w:r>
        <w:t xml:space="preserve"> </w:t>
      </w:r>
      <w:r>
        <w:t xml:space="preserve">Gather anonymized case records from Toronto courts over the past five years, including criminal, civil, and family law cases.</w:t>
      </w:r>
    </w:p>
    <w:p>
      <w:pPr>
        <w:numPr>
          <w:ilvl w:val="0"/>
          <w:numId w:val="1002"/>
        </w:numPr>
        <w:pStyle w:val="Compact"/>
      </w:pPr>
      <w:r>
        <w:rPr>
          <w:bCs/>
          <w:b/>
        </w:rPr>
        <w:t xml:space="preserve">Case Selection:</w:t>
      </w:r>
      <w:r>
        <w:t xml:space="preserve"> </w:t>
      </w:r>
      <w:r>
        <w:t xml:space="preserve">Randomly select a representative sample of cases to ensure diversity in case types and outcomes.</w:t>
      </w:r>
    </w:p>
    <w:p>
      <w:pPr>
        <w:numPr>
          <w:ilvl w:val="0"/>
          <w:numId w:val="1002"/>
        </w:numPr>
        <w:pStyle w:val="Compact"/>
      </w:pPr>
      <w:r>
        <w:rPr>
          <w:bCs/>
          <w:b/>
        </w:rPr>
        <w:t xml:space="preserve">Analysis:</w:t>
      </w:r>
      <w:r>
        <w:t xml:space="preserve"> </w:t>
      </w:r>
      <w:r>
        <w:t xml:space="preserve">Use statistical tools to identify trends and correlations in judicial decisions. Conduct interviews with judges and legal professionals to gain deeper insights.</w:t>
      </w:r>
    </w:p>
    <w:p>
      <w:pPr>
        <w:numPr>
          <w:ilvl w:val="0"/>
          <w:numId w:val="1002"/>
        </w:numPr>
        <w:pStyle w:val="Compact"/>
      </w:pPr>
      <w:r>
        <w:rPr>
          <w:bCs/>
          <w:b/>
        </w:rPr>
        <w:t xml:space="preserve">Comparison:</w:t>
      </w:r>
      <w:r>
        <w:t xml:space="preserve"> </w:t>
      </w:r>
      <w:r>
        <w:t xml:space="preserve">Compare findings with similar studies conducted in other jurisdictions to contextualize results within the Canadian legal framework.</w:t>
      </w:r>
    </w:p>
    <w:p>
      <w:pPr>
        <w:pStyle w:val="FirstParagraph"/>
      </w:pPr>
      <w:r>
        <w:t xml:space="preserve">4. Participants</w:t>
      </w:r>
    </w:p>
    <w:p>
      <w:pPr>
        <w:pStyle w:val="BodyText"/>
      </w:pPr>
      <w:r>
        <w:t xml:space="preserve">The participants in this study include:</w:t>
      </w:r>
    </w:p>
    <w:p>
      <w:pPr>
        <w:numPr>
          <w:ilvl w:val="0"/>
          <w:numId w:val="1003"/>
        </w:numPr>
        <w:pStyle w:val="Compact"/>
      </w:pPr>
      <w:r>
        <w:t xml:space="preserve">Judges presiding over cases in Toronto courts.</w:t>
      </w:r>
    </w:p>
    <w:p>
      <w:pPr>
        <w:numPr>
          <w:ilvl w:val="0"/>
          <w:numId w:val="1003"/>
        </w:numPr>
        <w:pStyle w:val="Compact"/>
      </w:pPr>
      <w:r>
        <w:t xml:space="preserve">Legal professionals such as lawyers and paralegals involved in the selected cases.</w:t>
      </w:r>
    </w:p>
    <w:p>
      <w:pPr>
        <w:numPr>
          <w:ilvl w:val="0"/>
          <w:numId w:val="1003"/>
        </w:numPr>
        <w:pStyle w:val="Compact"/>
      </w:pPr>
      <w:r>
        <w:t xml:space="preserve">Researchers and analysts responsible for data collection and interpretation.</w:t>
      </w:r>
    </w:p>
    <w:p>
      <w:pPr>
        <w:pStyle w:val="FirstParagraph"/>
      </w:pPr>
      <w:r>
        <w:t xml:space="preserve">All participants will provide informed consent, and their identities will remain confidential throughout the study.</w:t>
      </w:r>
    </w:p>
    <w:p>
      <w:pPr>
        <w:pStyle w:val="BodyText"/>
      </w:pPr>
      <w:r>
        <w:t xml:space="preserve">5. Ethical Considerations</w:t>
      </w:r>
    </w:p>
    <w:p>
      <w:pPr>
        <w:pStyle w:val="BodyText"/>
      </w:pPr>
      <w:r>
        <w:t xml:space="preserve">This experiment adheres to ethical guidelines set by the Tri-Council Policy Statement: Ethical Conduct for Research Involving Humans (TCPS2). Key considerations include:</w:t>
      </w:r>
    </w:p>
    <w:p>
      <w:pPr>
        <w:numPr>
          <w:ilvl w:val="0"/>
          <w:numId w:val="1004"/>
        </w:numPr>
        <w:pStyle w:val="Compact"/>
      </w:pPr>
      <w:r>
        <w:t xml:space="preserve">Ensuring the privacy and confidentiality of all participants.</w:t>
      </w:r>
    </w:p>
    <w:p>
      <w:pPr>
        <w:numPr>
          <w:ilvl w:val="0"/>
          <w:numId w:val="1004"/>
        </w:numPr>
        <w:pStyle w:val="Compact"/>
      </w:pPr>
      <w:r>
        <w:t xml:space="preserve">Obtaining necessary approvals from relevant ethics boards.</w:t>
      </w:r>
    </w:p>
    <w:p>
      <w:pPr>
        <w:numPr>
          <w:ilvl w:val="0"/>
          <w:numId w:val="1004"/>
        </w:numPr>
        <w:pStyle w:val="Compact"/>
      </w:pPr>
      <w:r>
        <w:t xml:space="preserve">Maintaining transparency in data collection and analysis processes.</w:t>
      </w:r>
    </w:p>
    <w:p>
      <w:pPr>
        <w:numPr>
          <w:ilvl w:val="0"/>
          <w:numId w:val="1004"/>
        </w:numPr>
        <w:pStyle w:val="Compact"/>
      </w:pPr>
      <w:r>
        <w:t xml:space="preserve">Respecting the independence and integrity of the judiciary.</w:t>
      </w:r>
    </w:p>
    <w:p>
      <w:pPr>
        <w:pStyle w:val="FirstParagraph"/>
      </w:pPr>
      <w:r>
        <w:t xml:space="preserve">6. Data Analysis</w:t>
      </w:r>
    </w:p>
    <w:p>
      <w:pPr>
        <w:pStyle w:val="BodyText"/>
      </w:pPr>
      <w:r>
        <w:t xml:space="preserve">Data will be analyzed using both descriptive and inferential statistics. Qualitative data from interviews will be coded thematically to identify recurring patterns and insights. The analysis will focus on:</w:t>
      </w:r>
    </w:p>
    <w:p>
      <w:pPr>
        <w:numPr>
          <w:ilvl w:val="0"/>
          <w:numId w:val="1005"/>
        </w:numPr>
        <w:pStyle w:val="Compact"/>
      </w:pPr>
      <w:r>
        <w:t xml:space="preserve">The frequency and nature of specific judicial decisions.</w:t>
      </w:r>
    </w:p>
    <w:p>
      <w:pPr>
        <w:numPr>
          <w:ilvl w:val="0"/>
          <w:numId w:val="1005"/>
        </w:numPr>
        <w:pStyle w:val="Compact"/>
      </w:pPr>
      <w:r>
        <w:t xml:space="preserve">The influence of external factors such as public opinion and media coverage.</w:t>
      </w:r>
    </w:p>
    <w:p>
      <w:pPr>
        <w:numPr>
          <w:ilvl w:val="0"/>
          <w:numId w:val="1005"/>
        </w:numPr>
        <w:pStyle w:val="Compact"/>
      </w:pPr>
      <w:r>
        <w:t xml:space="preserve">The role of legal training and experience in shaping judicial perspectives.</w:t>
      </w:r>
    </w:p>
    <w:p>
      <w:pPr>
        <w:pStyle w:val="FirstParagraph"/>
      </w:pPr>
      <w:r>
        <w:t xml:space="preserve">7. Expected Outcomes</w:t>
      </w:r>
    </w:p>
    <w:p>
      <w:pPr>
        <w:pStyle w:val="BodyText"/>
      </w:pPr>
      <w:r>
        <w:t xml:space="preserve">This experiment aims to produce several key outcomes:</w:t>
      </w:r>
    </w:p>
    <w:p>
      <w:pPr>
        <w:numPr>
          <w:ilvl w:val="0"/>
          <w:numId w:val="1006"/>
        </w:numPr>
        <w:pStyle w:val="Compact"/>
      </w:pPr>
      <w:r>
        <w:t xml:space="preserve">A comprehensive report detailing the findings of the study.</w:t>
      </w:r>
    </w:p>
    <w:p>
      <w:pPr>
        <w:numPr>
          <w:ilvl w:val="0"/>
          <w:numId w:val="1006"/>
        </w:numPr>
        <w:pStyle w:val="Compact"/>
      </w:pPr>
      <w:r>
        <w:t xml:space="preserve">Recommendations for improving judicial practices and training in Toronto.</w:t>
      </w:r>
    </w:p>
    <w:p>
      <w:pPr>
        <w:numPr>
          <w:ilvl w:val="0"/>
          <w:numId w:val="1006"/>
        </w:numPr>
        <w:pStyle w:val="Compact"/>
      </w:pPr>
      <w:r>
        <w:t xml:space="preserve">Insights into the broader implications of judicial decision-making for the Canadian legal system.</w:t>
      </w:r>
    </w:p>
    <w:p>
      <w:pPr>
        <w:pStyle w:val="FirstParagraph"/>
      </w:pPr>
      <w:r>
        <w:t xml:space="preserve">8. Timeline</w:t>
      </w:r>
    </w:p>
    <w:p>
      <w:pPr>
        <w:pStyle w:val="BodyText"/>
      </w:pPr>
      <w:r>
        <w:t xml:space="preserve">The experiment will be conducted over a period of 18 months, divided into the following phases:</w:t>
      </w:r>
    </w:p>
    <w:p>
      <w:pPr>
        <w:numPr>
          <w:ilvl w:val="0"/>
          <w:numId w:val="1007"/>
        </w:numPr>
        <w:pStyle w:val="Compact"/>
      </w:pPr>
      <w:r>
        <w:rPr>
          <w:bCs/>
          <w:b/>
        </w:rPr>
        <w:t xml:space="preserve">Months 1-3:</w:t>
      </w:r>
      <w:r>
        <w:t xml:space="preserve"> </w:t>
      </w:r>
      <w:r>
        <w:t xml:space="preserve">Literature review and protocol finalization.</w:t>
      </w:r>
    </w:p>
    <w:p>
      <w:pPr>
        <w:numPr>
          <w:ilvl w:val="0"/>
          <w:numId w:val="1007"/>
        </w:numPr>
        <w:pStyle w:val="Compact"/>
      </w:pPr>
      <w:r>
        <w:rPr>
          <w:bCs/>
          <w:b/>
        </w:rPr>
        <w:t xml:space="preserve">Months 4-9:</w:t>
      </w:r>
      <w:r>
        <w:t xml:space="preserve"> </w:t>
      </w:r>
      <w:r>
        <w:t xml:space="preserve">Data collection and case selection.</w:t>
      </w:r>
    </w:p>
    <w:p>
      <w:pPr>
        <w:numPr>
          <w:ilvl w:val="0"/>
          <w:numId w:val="1007"/>
        </w:numPr>
        <w:pStyle w:val="Compact"/>
      </w:pPr>
      <w:r>
        <w:rPr>
          <w:bCs/>
          <w:b/>
        </w:rPr>
        <w:t xml:space="preserve">Months 10-15:</w:t>
      </w:r>
      <w:r>
        <w:t xml:space="preserve"> </w:t>
      </w:r>
      <w:r>
        <w:t xml:space="preserve">Data analysis and interviews.</w:t>
      </w:r>
    </w:p>
    <w:p>
      <w:pPr>
        <w:numPr>
          <w:ilvl w:val="0"/>
          <w:numId w:val="1007"/>
        </w:numPr>
        <w:pStyle w:val="Compact"/>
      </w:pPr>
      <w:r>
        <w:rPr>
          <w:bCs/>
          <w:b/>
        </w:rPr>
        <w:t xml:space="preserve">Months 16-18:</w:t>
      </w:r>
      <w:r>
        <w:t xml:space="preserve"> </w:t>
      </w:r>
      <w:r>
        <w:t xml:space="preserve">Report writing and dissemination of findings.</w:t>
      </w:r>
    </w:p>
    <w:p>
      <w:pPr>
        <w:pStyle w:val="FirstParagraph"/>
      </w:pPr>
      <w:r>
        <w:t xml:space="preserve">9. Conclusion</w:t>
      </w:r>
    </w:p>
    <w:p>
      <w:pPr>
        <w:pStyle w:val="BodyText"/>
      </w:pPr>
      <w:r>
        <w:t xml:space="preserve">This Experiment Protocol provides a structured approach to studying judicial decision-making in Canada Toronto. By adhering to rigorous methodological and ethical standards, the study aims to generate valuable insights that can inform policy and practice within the legal system. The findings will contribute to ongoing efforts to enhance the fairness, transparency, and effectiveness of judicial processes in urban environments.</w:t>
      </w:r>
    </w:p>
    <w:p>
      <w:pPr>
        <w:pStyle w:val="BodyText"/>
      </w:pPr>
      <w:r>
        <w:t xml:space="preserve">© 2024 Research Team on Judicial Processes.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Judicial Decision-Making in Canada Toronto</dc:title>
  <dc:creator/>
  <dc:language>en</dc:language>
  <cp:keywords/>
  <dcterms:created xsi:type="dcterms:W3CDTF">2026-10-10T03:58:33Z</dcterms:created>
  <dcterms:modified xsi:type="dcterms:W3CDTF">2026-10-10T03:58:33Z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