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Judicial</w:t>
      </w:r>
      <w:r>
        <w:t xml:space="preserve"> </w:t>
      </w:r>
      <w:r>
        <w:t xml:space="preserve">Decision-Making</w:t>
      </w:r>
      <w:r>
        <w:t xml:space="preserve"> </w:t>
      </w:r>
      <w:r>
        <w:t xml:space="preserve">Analysis</w:t>
      </w:r>
    </w:p>
    <w:bookmarkStart w:id="30" w:name="Xea3286c6689a4f3ea7ee5995f2b62a539bdf02e"/>
    <w:p>
      <w:pPr>
        <w:pStyle w:val="Heading1"/>
      </w:pPr>
      <w:r>
        <w:t xml:space="preserve">Experiment Protocol: Cognitive Load and Decision Latency in Judicial Proceedings</w:t>
      </w:r>
    </w:p>
    <w:p>
      <w:pPr>
        <w:pStyle w:val="FirstParagraph"/>
      </w:pPr>
      <w:r>
        <w:rPr>
          <w:bCs/>
          <w:b/>
        </w:rPr>
        <w:t xml:space="preserve">Protocol ID:</w:t>
      </w:r>
      <w:r>
        <w:t xml:space="preserve"> </w:t>
      </w:r>
      <w:r>
        <w:t xml:space="preserve">FR-JUD-2024-001</w:t>
      </w:r>
    </w:p>
    <w:p>
      <w:pPr>
        <w:pStyle w:val="BodyText"/>
      </w:pPr>
      <w:r>
        <w:rPr>
          <w:bCs/>
          <w:b/>
        </w:rPr>
        <w:t xml:space="preserve">Location:</w:t>
      </w:r>
      <w:r>
        <w:t xml:space="preserve"> </w:t>
      </w:r>
      <w:r>
        <w:t xml:space="preserve">Frankfurt am Main, Germany</w:t>
      </w:r>
    </w:p>
    <w:p>
      <w:pPr>
        <w:pStyle w:val="BodyText"/>
      </w:pPr>
      <w:r>
        <w:rPr>
          <w:bCs/>
          <w:b/>
        </w:rPr>
        <w:t xml:space="preserve">Subject:</w:t>
      </w:r>
      <w:r>
        <w:t xml:space="preserve"> </w:t>
      </w:r>
      <w:r>
        <w:t xml:space="preserve">The Judge (Professional Judicial Officer)</w:t>
      </w:r>
    </w:p>
    <w:p>
      <w:pPr>
        <w:pStyle w:val="BodyText"/>
      </w:pPr>
      <w:r>
        <w:rPr>
          <w:bCs/>
          <w:b/>
        </w:rPr>
        <w:t xml:space="preserve">Date:</w:t>
      </w:r>
      <w:r>
        <w:t xml:space="preserve"> </w:t>
      </w:r>
      <w:r>
        <w:t xml:space="preserve">October 24,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The administration of justice relies heavily on the cognitive faculties of the</w:t>
      </w:r>
      <w:r>
        <w:t xml:space="preserve"> </w:t>
      </w:r>
      <w:r>
        <w:rPr>
          <w:bCs/>
          <w:b/>
        </w:rPr>
        <w:t xml:space="preserve">Judge</w:t>
      </w:r>
      <w:r>
        <w:t xml:space="preserve">. In the context of</w:t>
      </w:r>
      <w:r>
        <w:t xml:space="preserve"> </w:t>
      </w:r>
      <w:r>
        <w:rPr>
          <w:bCs/>
          <w:b/>
        </w:rPr>
        <w:t xml:space="preserve">Germany Frankfurt</w:t>
      </w:r>
      <w:r>
        <w:t xml:space="preserve">, a major hub for international commerce and the seat of the European Central Bank, the local courts face a high volume of complex civil, commercial, and criminal cases. This</w:t>
      </w:r>
      <w:r>
        <w:t xml:space="preserve"> </w:t>
      </w:r>
      <w:r>
        <w:rPr>
          <w:bCs/>
          <w:b/>
        </w:rPr>
        <w:t xml:space="preserve">Experiment Protocol</w:t>
      </w:r>
      <w:r>
        <w:t xml:space="preserve"> </w:t>
      </w:r>
      <w:r>
        <w:t xml:space="preserve">is designed to investigate the impact of cognitive fatigue and environmental variables on the decision-making latency and consistency of a</w:t>
      </w:r>
      <w:r>
        <w:t xml:space="preserve"> </w:t>
      </w:r>
      <w:r>
        <w:rPr>
          <w:bCs/>
          <w:b/>
        </w:rPr>
        <w:t xml:space="preserve">Judge</w:t>
      </w:r>
      <w:r>
        <w:t xml:space="preserve"> </w:t>
      </w:r>
      <w:r>
        <w:t xml:space="preserve">operating within the legal framework of the Federal Republic of Germany.</w:t>
      </w:r>
    </w:p>
    <w:p>
      <w:pPr>
        <w:pStyle w:val="BodyText"/>
      </w:pPr>
      <w:r>
        <w:t xml:space="preserve">While judicial independence is a cornerstone of the German legal system, the human element remains susceptible to psychological factors. This study aims to quantify these factors without compromising the integrity of the actual legal process. The protocol is strictly observational and utilizes simulated case files to ensure ethical compliance.</w:t>
      </w:r>
    </w:p>
    <w:bookmarkEnd w:id="20"/>
    <w:bookmarkStart w:id="21" w:name="objectives"/>
    <w:p>
      <w:pPr>
        <w:pStyle w:val="Heading2"/>
      </w:pPr>
      <w:r>
        <w:t xml:space="preserve">2. Objectives</w:t>
      </w:r>
    </w:p>
    <w:p>
      <w:pPr>
        <w:pStyle w:val="FirstParagraph"/>
      </w:pPr>
      <w:r>
        <w:t xml:space="preserve">The primary objective of this</w:t>
      </w:r>
      <w:r>
        <w:t xml:space="preserve"> </w:t>
      </w:r>
      <w:r>
        <w:rPr>
          <w:bCs/>
          <w:b/>
        </w:rPr>
        <w:t xml:space="preserve">Experiment Protocol</w:t>
      </w:r>
      <w:r>
        <w:t xml:space="preserve"> </w:t>
      </w:r>
      <w:r>
        <w:t xml:space="preserve">is to analyze the correlation between the duration of continuous work and the quality of legal reasoning provided by a</w:t>
      </w:r>
      <w:r>
        <w:t xml:space="preserve"> </w:t>
      </w:r>
      <w:r>
        <w:rPr>
          <w:bCs/>
          <w:b/>
        </w:rPr>
        <w:t xml:space="preserve">Judge</w:t>
      </w:r>
      <w:r>
        <w:t xml:space="preserve">. Specifically, the study seeks to:</w:t>
      </w:r>
    </w:p>
    <w:p>
      <w:pPr>
        <w:numPr>
          <w:ilvl w:val="0"/>
          <w:numId w:val="1001"/>
        </w:numPr>
        <w:pStyle w:val="Compact"/>
      </w:pPr>
      <w:r>
        <w:t xml:space="preserve">Measure the time taken to render a verdict in standardized mock cases.</w:t>
      </w:r>
    </w:p>
    <w:p>
      <w:pPr>
        <w:numPr>
          <w:ilvl w:val="0"/>
          <w:numId w:val="1001"/>
        </w:numPr>
        <w:pStyle w:val="Compact"/>
      </w:pPr>
      <w:r>
        <w:t xml:space="preserve">Assess the consistency of sentencing recommendations across different times of the day.</w:t>
      </w:r>
    </w:p>
    <w:p>
      <w:pPr>
        <w:numPr>
          <w:ilvl w:val="0"/>
          <w:numId w:val="1001"/>
        </w:numPr>
        <w:pStyle w:val="Compact"/>
      </w:pPr>
      <w:r>
        <w:t xml:space="preserve">Evaluate the effect of ambient noise levels typical of the Frankfurt court districts on concentration.</w:t>
      </w:r>
    </w:p>
    <w:p>
      <w:pPr>
        <w:numPr>
          <w:ilvl w:val="0"/>
          <w:numId w:val="1001"/>
        </w:numPr>
        <w:pStyle w:val="Compact"/>
      </w:pPr>
      <w:r>
        <w:t xml:space="preserve">Determine if the complexity of German civil law (BGB) application degrades under high cognitive load.</w:t>
      </w:r>
    </w:p>
    <w:bookmarkEnd w:id="21"/>
    <w:bookmarkStart w:id="25" w:name="methodology"/>
    <w:p>
      <w:pPr>
        <w:pStyle w:val="Heading2"/>
      </w:pPr>
      <w:r>
        <w:t xml:space="preserve">3. Methodology</w:t>
      </w:r>
    </w:p>
    <w:bookmarkStart w:id="22" w:name="study-setting"/>
    <w:p>
      <w:pPr>
        <w:pStyle w:val="Heading3"/>
      </w:pPr>
      <w:r>
        <w:t xml:space="preserve">3.1 Study Setting</w:t>
      </w:r>
    </w:p>
    <w:p>
      <w:pPr>
        <w:pStyle w:val="FirstParagraph"/>
      </w:pPr>
      <w:r>
        <w:t xml:space="preserve">The experiment will be conducted in a controlled environment located in</w:t>
      </w:r>
      <w:r>
        <w:t xml:space="preserve"> </w:t>
      </w:r>
      <w:r>
        <w:rPr>
          <w:bCs/>
          <w:b/>
        </w:rPr>
        <w:t xml:space="preserve">Germany Frankfurt</w:t>
      </w:r>
      <w:r>
        <w:t xml:space="preserve">, specifically within a private research facility adjacent to the Frankfurt Regional Court (Landgericht Frankfurt am Main). The room will be acoustically treated to simulate the ambient conditions of a standard courtroom, including low-level murmurs and administrative noise, to reflect the reality of the</w:t>
      </w:r>
      <w:r>
        <w:t xml:space="preserve"> </w:t>
      </w:r>
      <w:r>
        <w:rPr>
          <w:bCs/>
          <w:b/>
        </w:rPr>
        <w:t xml:space="preserve">Judge</w:t>
      </w:r>
      <w:r>
        <w:t xml:space="preserve">'s daily environment.</w:t>
      </w:r>
    </w:p>
    <w:bookmarkEnd w:id="22"/>
    <w:bookmarkStart w:id="23" w:name="participants"/>
    <w:p>
      <w:pPr>
        <w:pStyle w:val="Heading3"/>
      </w:pPr>
      <w:r>
        <w:t xml:space="preserve">3.2 Participants</w:t>
      </w:r>
    </w:p>
    <w:p>
      <w:pPr>
        <w:pStyle w:val="FirstParagraph"/>
      </w:pPr>
      <w:r>
        <w:t xml:space="preserve">The subjects of this</w:t>
      </w:r>
      <w:r>
        <w:t xml:space="preserve"> </w:t>
      </w:r>
      <w:r>
        <w:rPr>
          <w:bCs/>
          <w:b/>
        </w:rPr>
        <w:t xml:space="preserve">Experiment Protocol</w:t>
      </w:r>
      <w:r>
        <w:t xml:space="preserve"> </w:t>
      </w:r>
      <w:r>
        <w:t xml:space="preserve">will be professional judges currently serving in the state of Hesse. Participation is entirely voluntary. To ensure data validity, participants must have a minimum of five years of experience in civil law. The term</w:t>
      </w:r>
      <w:r>
        <w:t xml:space="preserve"> </w:t>
      </w:r>
      <w:r>
        <w:rPr>
          <w:bCs/>
          <w:b/>
        </w:rPr>
        <w:t xml:space="preserve">Judge</w:t>
      </w:r>
      <w:r>
        <w:t xml:space="preserve"> </w:t>
      </w:r>
      <w:r>
        <w:t xml:space="preserve">in this document refers to these qualified legal professionals.</w:t>
      </w:r>
    </w:p>
    <w:bookmarkEnd w:id="23"/>
    <w:bookmarkStart w:id="24" w:name="experimental-design"/>
    <w:p>
      <w:pPr>
        <w:pStyle w:val="Heading3"/>
      </w:pPr>
      <w:r>
        <w:t xml:space="preserve">3.3 Experimental Design</w:t>
      </w:r>
    </w:p>
    <w:p>
      <w:pPr>
        <w:pStyle w:val="FirstParagraph"/>
      </w:pPr>
      <w:r>
        <w:t xml:space="preserve">The study utilizes a within-subjects design. Each</w:t>
      </w:r>
      <w:r>
        <w:t xml:space="preserve"> </w:t>
      </w:r>
      <w:r>
        <w:rPr>
          <w:bCs/>
          <w:b/>
        </w:rPr>
        <w:t xml:space="preserve">Judge</w:t>
      </w:r>
      <w:r>
        <w:t xml:space="preserve"> </w:t>
      </w:r>
      <w:r>
        <w:t xml:space="preserve">will participate in a single session lasting four hours. The session is divided into four blocks of one hour each. During each block, the</w:t>
      </w:r>
      <w:r>
        <w:t xml:space="preserve"> </w:t>
      </w:r>
      <w:r>
        <w:rPr>
          <w:bCs/>
          <w:b/>
        </w:rPr>
        <w:t xml:space="preserve">Judge</w:t>
      </w:r>
      <w:r>
        <w:t xml:space="preserve"> </w:t>
      </w:r>
      <w:r>
        <w:t xml:space="preserve">will review a set of five standardized, anonymized case files. These files are constructed to mirror the complexity of cases typically heard in Frankfurt, involving commercial disputes and contract law.</w:t>
      </w:r>
    </w:p>
    <w:p>
      <w:pPr>
        <w:pStyle w:val="BodyText"/>
      </w:pPr>
      <w:r>
        <w:t xml:space="preserve">The variables manipulated in this</w:t>
      </w:r>
      <w:r>
        <w:t xml:space="preserve"> </w:t>
      </w:r>
      <w:r>
        <w:rPr>
          <w:bCs/>
          <w:b/>
        </w:rPr>
        <w:t xml:space="preserve">Experiment Protocol</w:t>
      </w:r>
      <w:r>
        <w:t xml:space="preserve"> </w:t>
      </w:r>
      <w:r>
        <w:t xml:space="preserve">include:</w:t>
      </w:r>
    </w:p>
    <w:p>
      <w:pPr>
        <w:numPr>
          <w:ilvl w:val="0"/>
          <w:numId w:val="1002"/>
        </w:numPr>
        <w:pStyle w:val="Compact"/>
      </w:pPr>
      <w:r>
        <w:rPr>
          <w:bCs/>
          <w:b/>
        </w:rPr>
        <w:t xml:space="preserve">Time of Day:</w:t>
      </w:r>
      <w:r>
        <w:t xml:space="preserve"> </w:t>
      </w:r>
      <w:r>
        <w:t xml:space="preserve">Sessions will be scheduled at different times to account for circadian rhythms.</w:t>
      </w:r>
    </w:p>
    <w:p>
      <w:pPr>
        <w:numPr>
          <w:ilvl w:val="0"/>
          <w:numId w:val="1002"/>
        </w:numPr>
        <w:pStyle w:val="Compact"/>
      </w:pPr>
      <w:r>
        <w:rPr>
          <w:bCs/>
          <w:b/>
        </w:rPr>
        <w:t xml:space="preserve">Cognitive Load:</w:t>
      </w:r>
      <w:r>
        <w:t xml:space="preserve"> </w:t>
      </w:r>
      <w:r>
        <w:t xml:space="preserve">The complexity of the case files will incrementally increase from Block 1 to Block 4.</w:t>
      </w:r>
    </w:p>
    <w:p>
      <w:pPr>
        <w:numPr>
          <w:ilvl w:val="0"/>
          <w:numId w:val="1002"/>
        </w:numPr>
        <w:pStyle w:val="Compact"/>
      </w:pPr>
      <w:r>
        <w:rPr>
          <w:bCs/>
          <w:b/>
        </w:rPr>
        <w:t xml:space="preserve">Interruptions:</w:t>
      </w:r>
      <w:r>
        <w:t xml:space="preserve"> </w:t>
      </w:r>
      <w:r>
        <w:t xml:space="preserve">In Blocks 2 and 3, the</w:t>
      </w:r>
      <w:r>
        <w:t xml:space="preserve"> </w:t>
      </w:r>
      <w:r>
        <w:rPr>
          <w:bCs/>
          <w:b/>
        </w:rPr>
        <w:t xml:space="preserve">Judge</w:t>
      </w:r>
      <w:r>
        <w:t xml:space="preserve"> </w:t>
      </w:r>
      <w:r>
        <w:t xml:space="preserve">will be subjected to simulated administrative interruptions (e.g., phone calls, clerical queries) to test resilience to distraction.</w:t>
      </w:r>
    </w:p>
    <w:bookmarkEnd w:id="24"/>
    <w:bookmarkEnd w:id="25"/>
    <w:bookmarkStart w:id="26" w:name="procedure"/>
    <w:p>
      <w:pPr>
        <w:pStyle w:val="Heading2"/>
      </w:pPr>
      <w:r>
        <w:t xml:space="preserve">4. Procedure</w:t>
      </w:r>
    </w:p>
    <w:p>
      <w:pPr>
        <w:pStyle w:val="FirstParagraph"/>
      </w:pPr>
      <w:r>
        <w:t xml:space="preserve">Upon arrival at the facility in</w:t>
      </w:r>
      <w:r>
        <w:t xml:space="preserve"> </w:t>
      </w:r>
      <w:r>
        <w:rPr>
          <w:bCs/>
          <w:b/>
        </w:rPr>
        <w:t xml:space="preserve">Germany Frankfurt</w:t>
      </w:r>
      <w:r>
        <w:t xml:space="preserve">, the</w:t>
      </w:r>
      <w:r>
        <w:t xml:space="preserve"> </w:t>
      </w:r>
      <w:r>
        <w:rPr>
          <w:bCs/>
          <w:b/>
        </w:rPr>
        <w:t xml:space="preserve">Judge</w:t>
      </w:r>
      <w:r>
        <w:t xml:space="preserve"> </w:t>
      </w:r>
      <w:r>
        <w:t xml:space="preserve">will sign a consent form and undergo a brief calibration phase. They will be provided with a digital tablet containing the case files and a secure interface to record their decisions.</w:t>
      </w:r>
    </w:p>
    <w:p>
      <w:pPr>
        <w:pStyle w:val="BodyText"/>
      </w:pPr>
      <w:r>
        <w:t xml:space="preserve">The</w:t>
      </w:r>
      <w:r>
        <w:t xml:space="preserve"> </w:t>
      </w:r>
      <w:r>
        <w:rPr>
          <w:bCs/>
          <w:b/>
        </w:rPr>
        <w:t xml:space="preserve">Judge</w:t>
      </w:r>
      <w:r>
        <w:t xml:space="preserve"> </w:t>
      </w:r>
      <w:r>
        <w:t xml:space="preserve">is instructed to approach each case as they would in a real courtroom, applying the relevant sections of the German Civil Code (BGB). They must provide a written rationale for their decision. The system will automatically log the time spent on each case and the keystroke dynamics to measure hesitation or confidence.</w:t>
      </w:r>
    </w:p>
    <w:p>
      <w:pPr>
        <w:pStyle w:val="BodyText"/>
      </w:pPr>
      <w:r>
        <w:t xml:space="preserve">Between blocks, the</w:t>
      </w:r>
      <w:r>
        <w:t xml:space="preserve"> </w:t>
      </w:r>
      <w:r>
        <w:rPr>
          <w:bCs/>
          <w:b/>
        </w:rPr>
        <w:t xml:space="preserve">Judge</w:t>
      </w:r>
      <w:r>
        <w:t xml:space="preserve"> </w:t>
      </w:r>
      <w:r>
        <w:t xml:space="preserve">is allowed a ten-minute break. During this time, they may leave the room but are not permitted to use electronic devices. This break is intended to simulate the natural pauses in a court docket.</w:t>
      </w:r>
    </w:p>
    <w:bookmarkEnd w:id="26"/>
    <w:bookmarkStart w:id="27" w:name="data-collection-and-analysis"/>
    <w:p>
      <w:pPr>
        <w:pStyle w:val="Heading2"/>
      </w:pPr>
      <w:r>
        <w:t xml:space="preserve">5. Data Collection and Analysis</w:t>
      </w:r>
    </w:p>
    <w:p>
      <w:pPr>
        <w:pStyle w:val="FirstParagraph"/>
      </w:pPr>
      <w:r>
        <w:t xml:space="preserve">Data collected under this</w:t>
      </w:r>
      <w:r>
        <w:t xml:space="preserve"> </w:t>
      </w:r>
      <w:r>
        <w:rPr>
          <w:bCs/>
          <w:b/>
        </w:rPr>
        <w:t xml:space="preserve">Experiment Protocol</w:t>
      </w:r>
      <w:r>
        <w:t xml:space="preserve"> </w:t>
      </w:r>
      <w:r>
        <w:t xml:space="preserve">will be analyzed using statistical methods to identify trends. Key metrics include:</w:t>
      </w:r>
    </w:p>
    <w:p>
      <w:pPr>
        <w:numPr>
          <w:ilvl w:val="0"/>
          <w:numId w:val="1003"/>
        </w:numPr>
        <w:pStyle w:val="Compact"/>
      </w:pPr>
      <w:r>
        <w:rPr>
          <w:bCs/>
          <w:b/>
        </w:rPr>
        <w:t xml:space="preserve">Decision Latency:</w:t>
      </w:r>
      <w:r>
        <w:t xml:space="preserve"> </w:t>
      </w:r>
      <w:r>
        <w:t xml:space="preserve">The time elapsed from opening a file to submitting a verdict.</w:t>
      </w:r>
    </w:p>
    <w:p>
      <w:pPr>
        <w:numPr>
          <w:ilvl w:val="0"/>
          <w:numId w:val="1003"/>
        </w:numPr>
        <w:pStyle w:val="Compact"/>
      </w:pPr>
      <w:r>
        <w:rPr>
          <w:bCs/>
          <w:b/>
        </w:rPr>
        <w:t xml:space="preserve">Legal Accuracy:</w:t>
      </w:r>
      <w:r>
        <w:t xml:space="preserve"> </w:t>
      </w:r>
      <w:r>
        <w:t xml:space="preserve">The alignment of the</w:t>
      </w:r>
      <w:r>
        <w:t xml:space="preserve"> </w:t>
      </w:r>
      <w:r>
        <w:rPr>
          <w:bCs/>
          <w:b/>
        </w:rPr>
        <w:t xml:space="preserve">Judge</w:t>
      </w:r>
      <w:r>
        <w:t xml:space="preserve">'s decision with a consensus panel of senior legal experts.</w:t>
      </w:r>
    </w:p>
    <w:p>
      <w:pPr>
        <w:numPr>
          <w:ilvl w:val="0"/>
          <w:numId w:val="1003"/>
        </w:numPr>
        <w:pStyle w:val="Compact"/>
      </w:pPr>
      <w:r>
        <w:rPr>
          <w:bCs/>
          <w:b/>
        </w:rPr>
        <w:t xml:space="preserve">Rationale Depth:</w:t>
      </w:r>
      <w:r>
        <w:t xml:space="preserve"> </w:t>
      </w:r>
      <w:r>
        <w:t xml:space="preserve">The word count and complexity of the written justification.</w:t>
      </w:r>
    </w:p>
    <w:p>
      <w:pPr>
        <w:pStyle w:val="FirstParagraph"/>
      </w:pPr>
      <w:r>
        <w:t xml:space="preserve">Special attention will be paid to the "lunchtime effect," a phenomenon observed in some jurisdictions where decision-making patterns shift after breaks. Given the fast-paced nature of</w:t>
      </w:r>
      <w:r>
        <w:t xml:space="preserve"> </w:t>
      </w:r>
      <w:r>
        <w:rPr>
          <w:bCs/>
          <w:b/>
        </w:rPr>
        <w:t xml:space="preserve">Germany Frankfurt</w:t>
      </w:r>
      <w:r>
        <w:t xml:space="preserve">, understanding this effect is crucial for optimizing court schedules.</w:t>
      </w:r>
    </w:p>
    <w:bookmarkEnd w:id="27"/>
    <w:bookmarkStart w:id="28" w:name="ethical-considerations"/>
    <w:p>
      <w:pPr>
        <w:pStyle w:val="Heading2"/>
      </w:pPr>
      <w:r>
        <w:t xml:space="preserve">6. Ethical Considerations</w:t>
      </w:r>
    </w:p>
    <w:p>
      <w:pPr>
        <w:pStyle w:val="FirstParagraph"/>
      </w:pPr>
      <w:r>
        <w:t xml:space="preserve">This</w:t>
      </w:r>
      <w:r>
        <w:t xml:space="preserve"> </w:t>
      </w:r>
      <w:r>
        <w:rPr>
          <w:bCs/>
          <w:b/>
        </w:rPr>
        <w:t xml:space="preserve">Experiment Protocol</w:t>
      </w:r>
      <w:r>
        <w:t xml:space="preserve"> </w:t>
      </w:r>
      <w:r>
        <w:t xml:space="preserve">adheres strictly to the ethical guidelines of the German Psychological Society (DGPs) and data protection regulations (GDPR). The identity of each</w:t>
      </w:r>
      <w:r>
        <w:t xml:space="preserve"> </w:t>
      </w:r>
      <w:r>
        <w:rPr>
          <w:bCs/>
          <w:b/>
        </w:rPr>
        <w:t xml:space="preserve">Judge</w:t>
      </w:r>
      <w:r>
        <w:t xml:space="preserve"> </w:t>
      </w:r>
      <w:r>
        <w:t xml:space="preserve">will be anonymized using a unique code. No actual court cases will be used, ensuring that no real parties are affected by the experimental decisions. The study has been reviewed and approved by the local ethics committee in Frankfurt.</w:t>
      </w:r>
    </w:p>
    <w:bookmarkEnd w:id="28"/>
    <w:bookmarkStart w:id="29" w:name="conclusion"/>
    <w:p>
      <w:pPr>
        <w:pStyle w:val="Heading2"/>
      </w:pPr>
      <w:r>
        <w:t xml:space="preserve">7. Conclusion</w:t>
      </w:r>
    </w:p>
    <w:p>
      <w:pPr>
        <w:pStyle w:val="FirstParagraph"/>
      </w:pPr>
      <w:r>
        <w:t xml:space="preserve">By systematically observing the</w:t>
      </w:r>
      <w:r>
        <w:t xml:space="preserve"> </w:t>
      </w:r>
      <w:r>
        <w:rPr>
          <w:bCs/>
          <w:b/>
        </w:rPr>
        <w:t xml:space="preserve">Judge</w:t>
      </w:r>
      <w:r>
        <w:t xml:space="preserve"> </w:t>
      </w:r>
      <w:r>
        <w:t xml:space="preserve">in a controlled setting within</w:t>
      </w:r>
      <w:r>
        <w:t xml:space="preserve"> </w:t>
      </w:r>
      <w:r>
        <w:rPr>
          <w:bCs/>
          <w:b/>
        </w:rPr>
        <w:t xml:space="preserve">Germany Frankfurt</w:t>
      </w:r>
      <w:r>
        <w:t xml:space="preserve">, this</w:t>
      </w:r>
      <w:r>
        <w:t xml:space="preserve"> </w:t>
      </w:r>
      <w:r>
        <w:rPr>
          <w:bCs/>
          <w:b/>
        </w:rPr>
        <w:t xml:space="preserve">Experiment Protocol</w:t>
      </w:r>
      <w:r>
        <w:t xml:space="preserve"> </w:t>
      </w:r>
      <w:r>
        <w:t xml:space="preserve">aims to provide empirical data on the cognitive demands of the judiciary. The findings will contribute to a better understanding of how to support judicial officers in maintaining high standards of justice amidst increasing workloads.</w:t>
      </w:r>
    </w:p>
    <w:p>
      <w:pPr>
        <w:pStyle w:val="BodyText"/>
      </w:pPr>
      <w:r>
        <w:rPr>
          <w:bCs/>
          <w:b/>
        </w:rPr>
        <w:t xml:space="preserve">Disclaimer:</w:t>
      </w:r>
      <w:r>
        <w:t xml:space="preserve"> </w:t>
      </w:r>
      <w:r>
        <w:t xml:space="preserve">This document is a simulated experiment protocol for educational and illustrative purposes. It does not represent an actual ongoing study by any government body or research institution in Germany.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Judicial Decision-Making Analysis</dc:title>
  <dc:creator/>
  <dc:language>en</dc:language>
  <cp:keywords/>
  <dcterms:created xsi:type="dcterms:W3CDTF">2026-10-10T04:03:22Z</dcterms:created>
  <dcterms:modified xsi:type="dcterms:W3CDTF">2026-10-10T04:03:22Z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