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Analysis</w:t>
      </w:r>
      <w:r>
        <w:t xml:space="preserve"> </w:t>
      </w:r>
      <w:r>
        <w:t xml:space="preserve">in</w:t>
      </w:r>
      <w:r>
        <w:t xml:space="preserve"> </w:t>
      </w:r>
      <w:r>
        <w:t xml:space="preserve">Tehran</w:t>
      </w:r>
    </w:p>
    <w:bookmarkStart w:id="20" w:name="X5bfbbad9d9d709c0490a75620cdb292fd7cf787"/>
    <w:p>
      <w:pPr>
        <w:pStyle w:val="Heading1"/>
      </w:pPr>
      <w:r>
        <w:t xml:space="preserve">Experiment Protocol: Judicial Decision-Making Analysis</w:t>
      </w:r>
    </w:p>
    <w:p>
      <w:pPr>
        <w:pStyle w:val="FirstParagraph"/>
      </w:pPr>
      <w:r>
        <w:rPr>
          <w:bCs/>
          <w:b/>
        </w:rPr>
        <w:t xml:space="preserve">Project Title:</w:t>
      </w:r>
      <w:r>
        <w:t xml:space="preserve"> </w:t>
      </w:r>
      <w:r>
        <w:t xml:space="preserve">Cognitive and Procedural Analysis of the Judge in Civil Litigation</w:t>
      </w:r>
    </w:p>
    <w:p>
      <w:pPr>
        <w:pStyle w:val="BodyText"/>
      </w:pPr>
      <w:r>
        <w:rPr>
          <w:bCs/>
          <w:b/>
        </w:rPr>
        <w:t xml:space="preserve">Location:</w:t>
      </w:r>
      <w:r>
        <w:t xml:space="preserve"> </w:t>
      </w:r>
      <w:r>
        <w:t xml:space="preserve">Tehran, Iran</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observational study regarding the decision-making processes of a Judge within the judicial system of Iran. The study is specifically localized to Tehran, the capital city, which serves as the primary hub for the country's legal infrastructure. The objective is to analyze how judicial officers interpret civil codes under the specific cultural, legal, and administrative pressures present in Tehran's courtrooms.</w:t>
      </w:r>
    </w:p>
    <w:p>
      <w:pPr>
        <w:pStyle w:val="BodyText"/>
      </w:pPr>
      <w:r>
        <w:t xml:space="preserve">Understanding the role of the Judge is critical for improving judicial efficiency and transparency. In the context of Iran, the legal framework is a complex synthesis of civil law traditions and Islamic jurisprudence. This experiment aims to quantify the time allocation, cognitive load, and procedural adherence of a Judge when handling standard civil disputes in Tehran.</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average duration of deliberation for a Judge in Tehran regarding minor civil cases.</w:t>
      </w:r>
    </w:p>
    <w:p>
      <w:pPr>
        <w:numPr>
          <w:ilvl w:val="0"/>
          <w:numId w:val="1001"/>
        </w:numPr>
        <w:pStyle w:val="Compact"/>
      </w:pPr>
      <w:r>
        <w:t xml:space="preserve">To assess the consistency of legal interpretations applied by the Judge across similar case files.</w:t>
      </w:r>
    </w:p>
    <w:p>
      <w:pPr>
        <w:numPr>
          <w:ilvl w:val="0"/>
          <w:numId w:val="1001"/>
        </w:numPr>
        <w:pStyle w:val="Compact"/>
      </w:pPr>
      <w:r>
        <w:t xml:space="preserve">To evaluate the impact of administrative workload on the quality of judicial reasoning.</w:t>
      </w:r>
    </w:p>
    <w:p>
      <w:pPr>
        <w:numPr>
          <w:ilvl w:val="0"/>
          <w:numId w:val="1001"/>
        </w:numPr>
        <w:pStyle w:val="Compact"/>
      </w:pPr>
      <w:r>
        <w:t xml:space="preserve">To ensure all experimental procedures strictly adhere to the ethical guidelines and legal statutes of the Islamic Republic of Iran.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mixed-methods approach, combining quantitative time-motion analysis with qualitative review of anonymized case summaries. The experiment will be conducted over a period of six months within selected civil courts in Tehran.</w:t>
      </w:r>
    </w:p>
    <w:bookmarkEnd w:id="23"/>
    <w:bookmarkStart w:id="24" w:name="participants"/>
    <w:p>
      <w:pPr>
        <w:pStyle w:val="Heading3"/>
      </w:pPr>
      <w:r>
        <w:t xml:space="preserve">3.2 Participants</w:t>
      </w:r>
    </w:p>
    <w:p>
      <w:pPr>
        <w:pStyle w:val="FirstParagraph"/>
      </w:pPr>
      <w:r>
        <w:t xml:space="preserve">The primary subject of observation is the Judge. Participants will be selected from the Tehran Judicial District. Selection criteria include:</w:t>
      </w:r>
    </w:p>
    <w:p>
      <w:pPr>
        <w:numPr>
          <w:ilvl w:val="0"/>
          <w:numId w:val="1002"/>
        </w:numPr>
        <w:pStyle w:val="Compact"/>
      </w:pPr>
      <w:r>
        <w:t xml:space="preserve">Minimum of five years of service as a Judge in Tehran.</w:t>
      </w:r>
    </w:p>
    <w:p>
      <w:pPr>
        <w:numPr>
          <w:ilvl w:val="0"/>
          <w:numId w:val="1002"/>
        </w:numPr>
        <w:pStyle w:val="Compact"/>
      </w:pPr>
      <w:r>
        <w:t xml:space="preserve">Specialization in civil law.</w:t>
      </w:r>
    </w:p>
    <w:p>
      <w:pPr>
        <w:numPr>
          <w:ilvl w:val="0"/>
          <w:numId w:val="1002"/>
        </w:numPr>
        <w:pStyle w:val="Compact"/>
      </w:pPr>
      <w:r>
        <w:t xml:space="preserve">Willingness to participate in the study under the supervision of the relevant judicial authorities.</w:t>
      </w:r>
    </w:p>
    <w:p>
      <w:pPr>
        <w:pStyle w:val="FirstParagraph"/>
      </w:pPr>
      <w:r>
        <w:t xml:space="preserve">It is imperative that the identity of the Judge remains confidential to prevent external influence on their rulings.</w:t>
      </w:r>
    </w:p>
    <w:bookmarkEnd w:id="24"/>
    <w:bookmarkStart w:id="25" w:name="data-collection-procedures"/>
    <w:p>
      <w:pPr>
        <w:pStyle w:val="Heading3"/>
      </w:pPr>
      <w:r>
        <w:t xml:space="preserve">3.3 Data Collection Procedures</w:t>
      </w:r>
    </w:p>
    <w:p>
      <w:pPr>
        <w:pStyle w:val="FirstParagraph"/>
      </w:pPr>
      <w:r>
        <w:t xml:space="preserve">Data collection will occur in three phases:</w:t>
      </w:r>
    </w:p>
    <w:p>
      <w:pPr>
        <w:numPr>
          <w:ilvl w:val="0"/>
          <w:numId w:val="1003"/>
        </w:numPr>
        <w:pStyle w:val="Compact"/>
      </w:pPr>
      <w:r>
        <w:rPr>
          <w:bCs/>
          <w:b/>
        </w:rPr>
        <w:t xml:space="preserve">Pre-Trial Analysis:</w:t>
      </w:r>
      <w:r>
        <w:t xml:space="preserve"> </w:t>
      </w:r>
      <w:r>
        <w:t xml:space="preserve">Researchers will review anonymized case files to establish a baseline complexity score for each case assigned to the Judge.</w:t>
      </w:r>
    </w:p>
    <w:p>
      <w:pPr>
        <w:numPr>
          <w:ilvl w:val="0"/>
          <w:numId w:val="1003"/>
        </w:numPr>
        <w:pStyle w:val="Compact"/>
      </w:pPr>
      <w:r>
        <w:rPr>
          <w:bCs/>
          <w:b/>
        </w:rPr>
        <w:t xml:space="preserve">Observation Phase:</w:t>
      </w:r>
      <w:r>
        <w:t xml:space="preserve"> </w:t>
      </w:r>
      <w:r>
        <w:t xml:space="preserve">Trained observers, approved by the Tehran judiciary, will record the time spent by the Judge on reading files, consulting legal texts, and drafting judgments. No audio recording of sensitive hearings will take place to protect privacy.</w:t>
      </w:r>
    </w:p>
    <w:p>
      <w:pPr>
        <w:numPr>
          <w:ilvl w:val="0"/>
          <w:numId w:val="1003"/>
        </w:numPr>
        <w:pStyle w:val="Compact"/>
      </w:pPr>
      <w:r>
        <w:rPr>
          <w:bCs/>
          <w:b/>
        </w:rPr>
        <w:t xml:space="preserve">Post-Trial Review:</w:t>
      </w:r>
      <w:r>
        <w:t xml:space="preserve"> </w:t>
      </w:r>
      <w:r>
        <w:t xml:space="preserve">The final judgments will be analyzed for legal consistency and adherence to the Civil Code of Iran.</w:t>
      </w:r>
    </w:p>
    <w:bookmarkEnd w:id="25"/>
    <w:bookmarkEnd w:id="26"/>
    <w:bookmarkStart w:id="27" w:name="Xf2ff99b0eef6fcbe117f837fe1f088f459e1321"/>
    <w:p>
      <w:pPr>
        <w:pStyle w:val="Heading2"/>
      </w:pPr>
      <w:r>
        <w:t xml:space="preserve">4. Ethical Considerations and Legal Compliance</w:t>
      </w:r>
    </w:p>
    <w:p>
      <w:pPr>
        <w:pStyle w:val="FirstParagraph"/>
      </w:pPr>
      <w:r>
        <w:t xml:space="preserve">Conducting an experiment involving a Judge in Iran requires strict adherence to local laws and ethical standards. The following measures are mandatory:</w:t>
      </w:r>
    </w:p>
    <w:p>
      <w:pPr>
        <w:numPr>
          <w:ilvl w:val="0"/>
          <w:numId w:val="1004"/>
        </w:numPr>
        <w:pStyle w:val="Compact"/>
      </w:pPr>
      <w:r>
        <w:rPr>
          <w:bCs/>
          <w:b/>
        </w:rPr>
        <w:t xml:space="preserve">Confidentiality:</w:t>
      </w:r>
      <w:r>
        <w:t xml:space="preserve"> </w:t>
      </w:r>
      <w:r>
        <w:t xml:space="preserve">All data regarding the Judge and the litigants must be encrypted and stored on secure servers located within Iran, in compliance with national data sovereignty laws.</w:t>
      </w:r>
    </w:p>
    <w:p>
      <w:pPr>
        <w:numPr>
          <w:ilvl w:val="0"/>
          <w:numId w:val="1004"/>
        </w:numPr>
        <w:pStyle w:val="Compact"/>
      </w:pPr>
      <w:r>
        <w:rPr>
          <w:bCs/>
          <w:b/>
        </w:rPr>
        <w:t xml:space="preserve">Non-Interference:</w:t>
      </w:r>
      <w:r>
        <w:t xml:space="preserve"> </w:t>
      </w:r>
      <w:r>
        <w:t xml:space="preserve">The presence of researchers must not influence the decision-making of the Judge. Observers will remain passive and unobtrusive.</w:t>
      </w:r>
    </w:p>
    <w:p>
      <w:pPr>
        <w:numPr>
          <w:ilvl w:val="0"/>
          <w:numId w:val="1004"/>
        </w:numPr>
        <w:pStyle w:val="Compact"/>
      </w:pPr>
      <w:r>
        <w:rPr>
          <w:bCs/>
          <w:b/>
        </w:rPr>
        <w:t xml:space="preserve">Approval:</w:t>
      </w:r>
      <w:r>
        <w:t xml:space="preserve"> </w:t>
      </w:r>
      <w:r>
        <w:t xml:space="preserve">This protocol has been designed to seek approval from the relevant ethics committee within the Iranian judicial system before implementation.</w:t>
      </w:r>
    </w:p>
    <w:p>
      <w:pPr>
        <w:numPr>
          <w:ilvl w:val="0"/>
          <w:numId w:val="1004"/>
        </w:numPr>
        <w:pStyle w:val="Compact"/>
      </w:pPr>
      <w:r>
        <w:rPr>
          <w:bCs/>
          <w:b/>
        </w:rPr>
        <w:t xml:space="preserve">Cultural Sensitivity:</w:t>
      </w:r>
      <w:r>
        <w:t xml:space="preserve"> </w:t>
      </w:r>
      <w:r>
        <w:t xml:space="preserve">All interactions will respect the cultural norms and professional hierarchy inherent in the Tehran legal community.</w:t>
      </w:r>
    </w:p>
    <w:bookmarkEnd w:id="27"/>
    <w:bookmarkStart w:id="28" w:name="data-analysis"/>
    <w:p>
      <w:pPr>
        <w:pStyle w:val="Heading2"/>
      </w:pPr>
      <w:r>
        <w:t xml:space="preserve">5. Data Analysis</w:t>
      </w:r>
    </w:p>
    <w:p>
      <w:pPr>
        <w:pStyle w:val="FirstParagraph"/>
      </w:pPr>
      <w:r>
        <w:t xml:space="preserve">Collected data will be analyzed using statistical software to identify patterns in the Judge's workflow. Key metrics include:</w:t>
      </w:r>
    </w:p>
    <w:p>
      <w:pPr>
        <w:numPr>
          <w:ilvl w:val="0"/>
          <w:numId w:val="1005"/>
        </w:numPr>
        <w:pStyle w:val="Compact"/>
      </w:pPr>
      <w:r>
        <w:rPr>
          <w:bCs/>
          <w:b/>
        </w:rPr>
        <w:t xml:space="preserve">Efficiency Ratio:</w:t>
      </w:r>
      <w:r>
        <w:t xml:space="preserve"> </w:t>
      </w:r>
      <w:r>
        <w:t xml:space="preserve">The number of cases resolved per week relative to the complexity score.</w:t>
      </w:r>
    </w:p>
    <w:p>
      <w:pPr>
        <w:numPr>
          <w:ilvl w:val="0"/>
          <w:numId w:val="1005"/>
        </w:numPr>
        <w:pStyle w:val="Compact"/>
      </w:pPr>
      <w:r>
        <w:rPr>
          <w:bCs/>
          <w:b/>
        </w:rPr>
        <w:t xml:space="preserve">Consistency Index:</w:t>
      </w:r>
      <w:r>
        <w:t xml:space="preserve"> </w:t>
      </w:r>
      <w:r>
        <w:t xml:space="preserve">A measure of how frequently the Judge applies similar legal reasoning to factually similar cases.</w:t>
      </w:r>
    </w:p>
    <w:p>
      <w:pPr>
        <w:numPr>
          <w:ilvl w:val="0"/>
          <w:numId w:val="1005"/>
        </w:numPr>
        <w:pStyle w:val="Compact"/>
      </w:pPr>
      <w:r>
        <w:rPr>
          <w:bCs/>
          <w:b/>
        </w:rPr>
        <w:t xml:space="preserve">Deliberation Time:</w:t>
      </w:r>
      <w:r>
        <w:t xml:space="preserve"> </w:t>
      </w:r>
      <w:r>
        <w:t xml:space="preserve">The correlation between the time spent reviewing a file and the length/complexity of the resulting judgment.</w:t>
      </w:r>
    </w:p>
    <w:p>
      <w:pPr>
        <w:pStyle w:val="FirstParagraph"/>
      </w:pPr>
      <w:r>
        <w:t xml:space="preserve">Qualitative data will be coded to identify recurring themes in the Judge's legal interpretation, particularly regarding the application of local Tehran precedents versus national statutes.</w:t>
      </w:r>
    </w:p>
    <w:bookmarkEnd w:id="28"/>
    <w:bookmarkStart w:id="29" w:name="limitations"/>
    <w:p>
      <w:pPr>
        <w:pStyle w:val="Heading2"/>
      </w:pPr>
      <w:r>
        <w:t xml:space="preserve">6. Limitations</w:t>
      </w:r>
    </w:p>
    <w:p>
      <w:pPr>
        <w:pStyle w:val="FirstParagraph"/>
      </w:pPr>
      <w:r>
        <w:t xml:space="preserve">Researchers acknowledge several limitations inherent to this experiment:</w:t>
      </w:r>
    </w:p>
    <w:p>
      <w:pPr>
        <w:numPr>
          <w:ilvl w:val="0"/>
          <w:numId w:val="1006"/>
        </w:numPr>
        <w:pStyle w:val="Compact"/>
      </w:pPr>
      <w:r>
        <w:t xml:space="preserve">The Hawthorne Effect: The awareness of being observed may temporarily alter the behavior of the Judge.</w:t>
      </w:r>
    </w:p>
    <w:p>
      <w:pPr>
        <w:numPr>
          <w:ilvl w:val="0"/>
          <w:numId w:val="1006"/>
        </w:numPr>
        <w:pStyle w:val="Compact"/>
      </w:pPr>
      <w:r>
        <w:t xml:space="preserve">Access Restrictions: Certain sensitive cases may be excluded from the study due to national security or privacy concerns.</w:t>
      </w:r>
    </w:p>
    <w:p>
      <w:pPr>
        <w:numPr>
          <w:ilvl w:val="0"/>
          <w:numId w:val="1006"/>
        </w:numPr>
        <w:pStyle w:val="Compact"/>
      </w:pPr>
      <w:r>
        <w:t xml:space="preserve">Generalizability: Findings specific to Tehran may not be directly applicable to judicial practices in other regions of Iran.</w:t>
      </w:r>
    </w:p>
    <w:bookmarkEnd w:id="29"/>
    <w:bookmarkStart w:id="30" w:name="conclusion"/>
    <w:p>
      <w:pPr>
        <w:pStyle w:val="Heading2"/>
      </w:pPr>
      <w:r>
        <w:t xml:space="preserve">7. Conclusion</w:t>
      </w:r>
    </w:p>
    <w:p>
      <w:pPr>
        <w:pStyle w:val="FirstParagraph"/>
      </w:pPr>
      <w:r>
        <w:t xml:space="preserve">This Experiment Protocol provides a structured framework for analyzing the role of the Judge in Tehran. By focusing on objective metrics and respecting the legal and cultural context of Iran, this study aims to contribute valuable insights into judicial efficiency and decision-making processes. The ultimate goal is to support the continuous improvement of the judicial system in Tehran through evidence-based research.</w:t>
      </w:r>
    </w:p>
    <w:bookmarkEnd w:id="30"/>
    <w:p>
      <w:pPr>
        <w:pStyle w:val="BodyText"/>
      </w:pPr>
      <w:r>
        <w:rPr>
          <w:iCs/>
          <w:i/>
        </w:rPr>
        <w:t xml:space="preserve">Disclaimer: This document is a template for an experimental protocol and does not constitute legal advice. All procedures must be approved by the appropriate authorities in Iran before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Analysis in Tehran</dc:title>
  <dc:creator/>
  <dc:language>en</dc:language>
  <cp:keywords/>
  <dcterms:created xsi:type="dcterms:W3CDTF">2026-10-10T06:13:02Z</dcterms:created>
  <dcterms:modified xsi:type="dcterms:W3CDTF">2026-10-10T06:13:02Z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