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AI</w:t>
      </w:r>
      <w:r>
        <w:t xml:space="preserve"> </w:t>
      </w:r>
      <w:r>
        <w:t xml:space="preserve">Evaluation</w:t>
      </w:r>
      <w:r>
        <w:t xml:space="preserve"> </w:t>
      </w:r>
      <w:r>
        <w:t xml:space="preserve">in</w:t>
      </w:r>
      <w:r>
        <w:t xml:space="preserve"> </w:t>
      </w:r>
      <w:r>
        <w:t xml:space="preserve">Almaty</w:t>
      </w:r>
    </w:p>
    <w:bookmarkStart w:id="20" w:name="Xc21be6c53650479f054c66de5478f497cbfb82f"/>
    <w:p>
      <w:pPr>
        <w:pStyle w:val="Heading1"/>
      </w:pPr>
      <w:r>
        <w:t xml:space="preserve">Experiment Protocol: Judicial Decision Support System Evaluation</w:t>
      </w:r>
    </w:p>
    <w:p>
      <w:pPr>
        <w:pStyle w:val="FirstParagraph"/>
      </w:pPr>
      <w:r>
        <w:t xml:space="preserve">Location: Almaty, Kazakhstan | Version: 1.0 | Date: October 2023</w:t>
      </w:r>
    </w:p>
    <w:bookmarkEnd w:id="20"/>
    <w:p>
      <w:pPr>
        <w:pStyle w:val="BodyText"/>
      </w:pPr>
      <w:r>
        <w:rPr>
          <w:bCs/>
          <w:b/>
        </w:rPr>
        <w:t xml:space="preserve">Project Title:</w:t>
      </w:r>
      <w:r>
        <w:t xml:space="preserve"> </w:t>
      </w:r>
      <w:r>
        <w:t xml:space="preserve">Comparative Analysis of Human vs. Algorithmic Judge Performance in Civil Litigation</w:t>
      </w:r>
    </w:p>
    <w:p>
      <w:pPr>
        <w:pStyle w:val="BodyText"/>
      </w:pPr>
      <w:r>
        <w:rPr>
          <w:bCs/>
          <w:b/>
        </w:rPr>
        <w:t xml:space="preserve">Principal Investigator:</w:t>
      </w:r>
      <w:r>
        <w:t xml:space="preserve"> </w:t>
      </w:r>
      <w:r>
        <w:t xml:space="preserve">Dr. A. Serikbayev, Institute of Legal Informatics</w:t>
      </w:r>
    </w:p>
    <w:p>
      <w:pPr>
        <w:pStyle w:val="BodyText"/>
      </w:pPr>
      <w:r>
        <w:rPr>
          <w:bCs/>
          <w:b/>
        </w:rPr>
        <w:t xml:space="preserve">Location:</w:t>
      </w:r>
      <w:r>
        <w:t xml:space="preserve"> </w:t>
      </w:r>
      <w:r>
        <w:t xml:space="preserve">Almaty City Court Complex, Kazakhstan</w:t>
      </w:r>
    </w:p>
    <w:p>
      <w:pPr>
        <w:pStyle w:val="BodyText"/>
      </w:pPr>
      <w:r>
        <w:rPr>
          <w:bCs/>
          <w:b/>
        </w:rPr>
        <w:t xml:space="preserve">Duration:</w:t>
      </w:r>
      <w:r>
        <w:t xml:space="preserve"> </w:t>
      </w:r>
      <w:r>
        <w:t xml:space="preserve">12 Months</w:t>
      </w:r>
    </w:p>
    <w:bookmarkStart w:id="21" w:name="introduction-and-background"/>
    <w:p>
      <w:pPr>
        <w:pStyle w:val="Heading2"/>
      </w:pPr>
      <w:r>
        <w:t xml:space="preserve">1. Introduction and Background</w:t>
      </w:r>
    </w:p>
    <w:p>
      <w:pPr>
        <w:pStyle w:val="FirstParagraph"/>
      </w:pPr>
      <w:r>
        <w:t xml:space="preserve">The rapid advancement of artificial intelligence (AI) in legal technology presents a unique opportunity to enhance judicial efficiency and consistency. This Experiment Protocol outlines a controlled study designed to evaluate the performance of an AI-driven "Judge" system compared to human judges within the jurisdiction of Almaty, Kazakhstan. Almaty, as the former capital and current financial hub of Kazakhstan, possesses a robust legal infrastructure and a high volume of civil cases, making it an ideal environment for this pilot program.</w:t>
      </w:r>
    </w:p>
    <w:p>
      <w:pPr>
        <w:pStyle w:val="BodyText"/>
      </w:pPr>
      <w:r>
        <w:t xml:space="preserve">The primary objective is to determine whether an AI Judge can provide rulings that are statistically indistinguishable from human judges in terms of legal accuracy, adherence to the Civil Code of the Republic of Kazakhstan, and procedural fairness, while significantly reducing case resolution time.</w:t>
      </w:r>
    </w:p>
    <w:bookmarkEnd w:id="21"/>
    <w:bookmarkStart w:id="22" w:name="objectives"/>
    <w:p>
      <w:pPr>
        <w:pStyle w:val="Heading2"/>
      </w:pPr>
      <w:r>
        <w:t xml:space="preserve">2. Objectives</w:t>
      </w:r>
    </w:p>
    <w:p>
      <w:pPr>
        <w:pStyle w:val="FirstParagraph"/>
      </w:pPr>
      <w:r>
        <w:t xml:space="preserve">This experiment aims to achieve the following specific goals:</w:t>
      </w:r>
    </w:p>
    <w:p>
      <w:pPr>
        <w:numPr>
          <w:ilvl w:val="0"/>
          <w:numId w:val="1001"/>
        </w:numPr>
        <w:pStyle w:val="Compact"/>
      </w:pPr>
      <w:r>
        <w:rPr>
          <w:bCs/>
          <w:b/>
        </w:rPr>
        <w:t xml:space="preserve">Accuracy Assessment:</w:t>
      </w:r>
      <w:r>
        <w:t xml:space="preserve"> </w:t>
      </w:r>
      <w:r>
        <w:t xml:space="preserve">Measure the rate of correct legal application by the AI Judge versus human judges in standard civil disputes (e.g., contract breaches, property disputes).</w:t>
      </w:r>
    </w:p>
    <w:p>
      <w:pPr>
        <w:numPr>
          <w:ilvl w:val="0"/>
          <w:numId w:val="1001"/>
        </w:numPr>
        <w:pStyle w:val="Compact"/>
      </w:pPr>
      <w:r>
        <w:rPr>
          <w:bCs/>
          <w:b/>
        </w:rPr>
        <w:t xml:space="preserve">Efficiency Analysis:</w:t>
      </w:r>
      <w:r>
        <w:t xml:space="preserve"> </w:t>
      </w:r>
      <w:r>
        <w:t xml:space="preserve">Compare the time taken from case filing to final judgment between the AI Judge and human counterparts.</w:t>
      </w:r>
    </w:p>
    <w:p>
      <w:pPr>
        <w:numPr>
          <w:ilvl w:val="0"/>
          <w:numId w:val="1001"/>
        </w:numPr>
        <w:pStyle w:val="Compact"/>
      </w:pPr>
      <w:r>
        <w:rPr>
          <w:bCs/>
          <w:b/>
        </w:rPr>
        <w:t xml:space="preserve">Bias Detection:</w:t>
      </w:r>
      <w:r>
        <w:t xml:space="preserve"> </w:t>
      </w:r>
      <w:r>
        <w:t xml:space="preserve">Analyze both systems for potential biases related to gender, ethnicity, or socioeconomic status, ensuring compliance with Kazakhstan's anti-discrimination laws.</w:t>
      </w:r>
    </w:p>
    <w:p>
      <w:pPr>
        <w:numPr>
          <w:ilvl w:val="0"/>
          <w:numId w:val="1001"/>
        </w:numPr>
        <w:pStyle w:val="Compact"/>
      </w:pPr>
      <w:r>
        <w:rPr>
          <w:bCs/>
          <w:b/>
        </w:rPr>
        <w:t xml:space="preserve">User Acceptance:</w:t>
      </w:r>
      <w:r>
        <w:t xml:space="preserve"> </w:t>
      </w:r>
      <w:r>
        <w:t xml:space="preserve">Evaluate the satisfaction levels of litigants and legal representatives in Almaty regarding the transparency and perceived fairness of AI-generated judgments.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study will employ a randomized controlled trial (RCT) design. Cases eligible for the experiment will be randomly assigned to one of two groups:</w:t>
      </w:r>
    </w:p>
    <w:p>
      <w:pPr>
        <w:numPr>
          <w:ilvl w:val="0"/>
          <w:numId w:val="1002"/>
        </w:numPr>
        <w:pStyle w:val="Compact"/>
      </w:pPr>
      <w:r>
        <w:rPr>
          <w:bCs/>
          <w:b/>
        </w:rPr>
        <w:t xml:space="preserve">Control Group:</w:t>
      </w:r>
      <w:r>
        <w:t xml:space="preserve"> </w:t>
      </w:r>
      <w:r>
        <w:t xml:space="preserve">Cases heard by human judges in the Almaty City Court.</w:t>
      </w:r>
    </w:p>
    <w:p>
      <w:pPr>
        <w:numPr>
          <w:ilvl w:val="0"/>
          <w:numId w:val="1002"/>
        </w:numPr>
        <w:pStyle w:val="Compact"/>
      </w:pPr>
      <w:r>
        <w:rPr>
          <w:bCs/>
          <w:b/>
        </w:rPr>
        <w:t xml:space="preserve">Experimental Group:</w:t>
      </w:r>
      <w:r>
        <w:t xml:space="preserve"> </w:t>
      </w:r>
      <w:r>
        <w:t xml:space="preserve">Cases processed by the AI Judge system, with final oversight by a senior human judge.</w:t>
      </w:r>
    </w:p>
    <w:bookmarkEnd w:id="23"/>
    <w:bookmarkStart w:id="24" w:name="the-ai-judge-system"/>
    <w:p>
      <w:pPr>
        <w:pStyle w:val="Heading3"/>
      </w:pPr>
      <w:r>
        <w:t xml:space="preserve">3.2 The AI Judge System</w:t>
      </w:r>
    </w:p>
    <w:p>
      <w:pPr>
        <w:pStyle w:val="FirstParagraph"/>
      </w:pPr>
      <w:r>
        <w:t xml:space="preserve">The AI Judge is a machine learning model trained on over 500,000 anonymized court decisions from Kazakhstan, with a focus on Almaty regional precedents. The system utilizes natural language processing (NLP) to analyze case files, evidence, and legal arguments. It generates a draft judgment citing relevant articles from the Civil Code and procedural laws.</w:t>
      </w:r>
    </w:p>
    <w:bookmarkEnd w:id="24"/>
    <w:bookmarkStart w:id="25" w:name="case-selection-criteria"/>
    <w:p>
      <w:pPr>
        <w:pStyle w:val="Heading3"/>
      </w:pPr>
      <w:r>
        <w:t xml:space="preserve">3.3 Case Selection Criteria</w:t>
      </w:r>
    </w:p>
    <w:p>
      <w:pPr>
        <w:pStyle w:val="FirstParagraph"/>
      </w:pPr>
      <w:r>
        <w:t xml:space="preserve">To ensure validity, only specific types of cases will be included:</w:t>
      </w:r>
    </w:p>
    <w:p>
      <w:pPr>
        <w:numPr>
          <w:ilvl w:val="0"/>
          <w:numId w:val="1003"/>
        </w:numPr>
        <w:pStyle w:val="Compact"/>
      </w:pPr>
      <w:r>
        <w:t xml:space="preserve">Civil cases with a claim value under 5,000,000 KZT.</w:t>
      </w:r>
    </w:p>
    <w:p>
      <w:pPr>
        <w:numPr>
          <w:ilvl w:val="0"/>
          <w:numId w:val="1003"/>
        </w:numPr>
        <w:pStyle w:val="Compact"/>
      </w:pPr>
      <w:r>
        <w:t xml:space="preserve">Cases involving clear documentary evidence (e.g., written contracts, invoices).</w:t>
      </w:r>
    </w:p>
    <w:p>
      <w:pPr>
        <w:numPr>
          <w:ilvl w:val="0"/>
          <w:numId w:val="1003"/>
        </w:numPr>
        <w:pStyle w:val="Compact"/>
      </w:pPr>
      <w:r>
        <w:t xml:space="preserve">Exclusion of criminal cases, family law disputes involving minors, and cases requiring significant discretionary sentencing.</w:t>
      </w:r>
    </w:p>
    <w:bookmarkEnd w:id="25"/>
    <w:bookmarkEnd w:id="26"/>
    <w:bookmarkStart w:id="29" w:name="procedure"/>
    <w:p>
      <w:pPr>
        <w:pStyle w:val="Heading2"/>
      </w:pPr>
      <w:r>
        <w:t xml:space="preserve">4. Procedure</w:t>
      </w:r>
    </w:p>
    <w:bookmarkStart w:id="27" w:name="data-collection"/>
    <w:p>
      <w:pPr>
        <w:pStyle w:val="Heading3"/>
      </w:pPr>
      <w:r>
        <w:t xml:space="preserve">4.1 Data Collection</w:t>
      </w:r>
    </w:p>
    <w:p>
      <w:pPr>
        <w:pStyle w:val="FirstParagraph"/>
      </w:pPr>
      <w:r>
        <w:t xml:space="preserve">All case data will be collected through the electronic court system of Kazakhstan. Data will be anonymized to protect participant privacy in accordance with the Law of the Republic of Kazakhstan "On Personal Data and Its Protection."</w:t>
      </w:r>
    </w:p>
    <w:bookmarkEnd w:id="27"/>
    <w:bookmarkStart w:id="28" w:name="execution-steps"/>
    <w:p>
      <w:pPr>
        <w:pStyle w:val="Heading3"/>
      </w:pPr>
      <w:r>
        <w:t xml:space="preserve">4.2 Execution Steps</w:t>
      </w:r>
    </w:p>
    <w:p>
      <w:pPr>
        <w:numPr>
          <w:ilvl w:val="0"/>
          <w:numId w:val="1004"/>
        </w:numPr>
        <w:pStyle w:val="Compact"/>
      </w:pPr>
      <w:r>
        <w:rPr>
          <w:bCs/>
          <w:b/>
        </w:rPr>
        <w:t xml:space="preserve">Registration:</w:t>
      </w:r>
      <w:r>
        <w:t xml:space="preserve"> </w:t>
      </w:r>
      <w:r>
        <w:t xml:space="preserve">Eligible cases are registered in the experiment database.</w:t>
      </w:r>
    </w:p>
    <w:p>
      <w:pPr>
        <w:numPr>
          <w:ilvl w:val="0"/>
          <w:numId w:val="1004"/>
        </w:numPr>
        <w:pStyle w:val="Compact"/>
      </w:pPr>
      <w:r>
        <w:rPr>
          <w:bCs/>
          <w:b/>
        </w:rPr>
        <w:t xml:space="preserve">Randomization:</w:t>
      </w:r>
      <w:r>
        <w:t xml:space="preserve"> </w:t>
      </w:r>
      <w:r>
        <w:t xml:space="preserve">Cases are randomly assigned to the Control or Experimental group.</w:t>
      </w:r>
    </w:p>
    <w:p>
      <w:pPr>
        <w:numPr>
          <w:ilvl w:val="0"/>
          <w:numId w:val="1004"/>
        </w:numPr>
        <w:pStyle w:val="Compact"/>
      </w:pPr>
      <w:r>
        <w:rPr>
          <w:bCs/>
          <w:b/>
        </w:rPr>
        <w:t xml:space="preserve">Processing:</w:t>
      </w:r>
    </w:p>
    <w:p>
      <w:pPr>
        <w:numPr>
          <w:ilvl w:val="1"/>
          <w:numId w:val="1005"/>
        </w:numPr>
        <w:pStyle w:val="Compact"/>
      </w:pPr>
      <w:r>
        <w:rPr>
          <w:iCs/>
          <w:i/>
        </w:rPr>
        <w:t xml:space="preserve">Control Group:</w:t>
      </w:r>
      <w:r>
        <w:t xml:space="preserve"> </w:t>
      </w:r>
      <w:r>
        <w:t xml:space="preserve">Standard judicial procedure applies.</w:t>
      </w:r>
    </w:p>
    <w:p>
      <w:pPr>
        <w:numPr>
          <w:ilvl w:val="1"/>
          <w:numId w:val="1005"/>
        </w:numPr>
        <w:pStyle w:val="Compact"/>
      </w:pPr>
      <w:r>
        <w:rPr>
          <w:iCs/>
          <w:i/>
        </w:rPr>
        <w:t xml:space="preserve">Experimental Group:</w:t>
      </w:r>
      <w:r>
        <w:t xml:space="preserve"> </w:t>
      </w:r>
      <w:r>
        <w:t xml:space="preserve">The AI Judge analyzes the case file and generates a preliminary ruling within 48 hours. A human judge reviews the AI's reasoning for legal soundness before issuing the final judgment.</w:t>
      </w:r>
    </w:p>
    <w:p>
      <w:pPr>
        <w:numPr>
          <w:ilvl w:val="0"/>
          <w:numId w:val="1004"/>
        </w:numPr>
        <w:pStyle w:val="Compact"/>
      </w:pPr>
      <w:r>
        <w:rPr>
          <w:bCs/>
          <w:b/>
        </w:rPr>
        <w:t xml:space="preserve">Feedback:</w:t>
      </w:r>
      <w:r>
        <w:t xml:space="preserve"> </w:t>
      </w:r>
      <w:r>
        <w:t xml:space="preserve">Parties involved are surveyed regarding their experience.</w:t>
      </w:r>
    </w:p>
    <w:bookmarkEnd w:id="28"/>
    <w:bookmarkEnd w:id="29"/>
    <w:bookmarkStart w:id="30" w:name="ethical-considerations"/>
    <w:p>
      <w:pPr>
        <w:pStyle w:val="Heading2"/>
      </w:pPr>
      <w:r>
        <w:t xml:space="preserve">5. Ethical Considerations</w:t>
      </w:r>
    </w:p>
    <w:p>
      <w:pPr>
        <w:pStyle w:val="FirstParagraph"/>
      </w:pPr>
      <w:r>
        <w:rPr>
          <w:bCs/>
          <w:b/>
        </w:rPr>
        <w:t xml:space="preserve">Important:</w:t>
      </w:r>
      <w:r>
        <w:t xml:space="preserve"> </w:t>
      </w:r>
      <w:r>
        <w:t xml:space="preserve">This experiment must strictly adhere to ethical guidelines. The AI Judge does not replace human authority but serves as a decision-support tool. All final judgments remain legally binding only when signed by a human judge.</w:t>
      </w:r>
    </w:p>
    <w:p>
      <w:pPr>
        <w:pStyle w:val="BodyText"/>
      </w:pPr>
      <w:r>
        <w:t xml:space="preserve">Key ethical safeguards include:</w:t>
      </w:r>
    </w:p>
    <w:p>
      <w:pPr>
        <w:numPr>
          <w:ilvl w:val="0"/>
          <w:numId w:val="1006"/>
        </w:numPr>
        <w:pStyle w:val="Compact"/>
      </w:pPr>
      <w:r>
        <w:rPr>
          <w:bCs/>
          <w:b/>
        </w:rPr>
        <w:t xml:space="preserve">Informed Consent:</w:t>
      </w:r>
      <w:r>
        <w:t xml:space="preserve"> </w:t>
      </w:r>
      <w:r>
        <w:t xml:space="preserve">All parties must be informed that their case may be processed using AI assistance.</w:t>
      </w:r>
    </w:p>
    <w:p>
      <w:pPr>
        <w:numPr>
          <w:ilvl w:val="0"/>
          <w:numId w:val="1006"/>
        </w:numPr>
        <w:pStyle w:val="Compact"/>
      </w:pPr>
      <w:r>
        <w:rPr>
          <w:bCs/>
          <w:b/>
        </w:rPr>
        <w:t xml:space="preserve">Right to Appeal:</w:t>
      </w:r>
      <w:r>
        <w:t xml:space="preserve"> </w:t>
      </w:r>
      <w:r>
        <w:t xml:space="preserve">Parties retain the full right to appeal AI-assisted judgments through the standard appellate process in Almaty.</w:t>
      </w:r>
    </w:p>
    <w:p>
      <w:pPr>
        <w:numPr>
          <w:ilvl w:val="0"/>
          <w:numId w:val="1006"/>
        </w:numPr>
        <w:pStyle w:val="Compact"/>
      </w:pPr>
      <w:r>
        <w:rPr>
          <w:bCs/>
          <w:b/>
        </w:rPr>
        <w:t xml:space="preserve">Transparency:</w:t>
      </w:r>
      <w:r>
        <w:t xml:space="preserve"> </w:t>
      </w:r>
      <w:r>
        <w:t xml:space="preserve">The AI system must provide explainable reasoning for its decisions, citing specific legal provisions.</w:t>
      </w:r>
    </w:p>
    <w:bookmarkEnd w:id="30"/>
    <w:bookmarkStart w:id="31" w:name="data-analysis"/>
    <w:p>
      <w:pPr>
        <w:pStyle w:val="Heading2"/>
      </w:pPr>
      <w:r>
        <w:t xml:space="preserve">6. Data Analysis</w:t>
      </w:r>
    </w:p>
    <w:p>
      <w:pPr>
        <w:pStyle w:val="FirstParagraph"/>
      </w:pPr>
      <w:r>
        <w:t xml:space="preserve">Data will be analyzed using statistical methods to compare outcomes between the two groups. Key metrics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Measurement Method</w:t>
            </w:r>
          </w:p>
        </w:tc>
      </w:tr>
      <w:tr>
        <w:tc>
          <w:tcPr/>
          <w:p>
            <w:pPr>
              <w:pStyle w:val="Compact"/>
              <w:jc w:val="left"/>
            </w:pPr>
            <w:r>
              <w:t xml:space="preserve">Accuracy Rate</w:t>
            </w:r>
          </w:p>
        </w:tc>
        <w:tc>
          <w:tcPr/>
          <w:p>
            <w:pPr>
              <w:pStyle w:val="Compact"/>
              <w:jc w:val="left"/>
            </w:pPr>
            <w:r>
              <w:t xml:space="preserve">Percentage of judgments upheld on appeal</w:t>
            </w:r>
          </w:p>
        </w:tc>
      </w:tr>
      <w:tr>
        <w:tc>
          <w:tcPr/>
          <w:p>
            <w:pPr>
              <w:pStyle w:val="Compact"/>
              <w:jc w:val="left"/>
            </w:pPr>
            <w:r>
              <w:t xml:space="preserve">Time Efficiency</w:t>
            </w:r>
          </w:p>
        </w:tc>
        <w:tc>
          <w:tcPr/>
          <w:p>
            <w:pPr>
              <w:pStyle w:val="Compact"/>
              <w:jc w:val="left"/>
            </w:pPr>
            <w:r>
              <w:t xml:space="preserve">Average days from filing to judgment</w:t>
            </w:r>
          </w:p>
        </w:tc>
      </w:tr>
      <w:tr>
        <w:tc>
          <w:tcPr/>
          <w:p>
            <w:pPr>
              <w:pStyle w:val="Compact"/>
              <w:jc w:val="left"/>
            </w:pPr>
            <w:r>
              <w:t xml:space="preserve">Consistency</w:t>
            </w:r>
          </w:p>
        </w:tc>
        <w:tc>
          <w:tcPr/>
          <w:p>
            <w:pPr>
              <w:pStyle w:val="Compact"/>
              <w:jc w:val="left"/>
            </w:pPr>
            <w:r>
              <w:t xml:space="preserve">Variance in rulings for similar case facts</w:t>
            </w:r>
          </w:p>
        </w:tc>
      </w:tr>
      <w:tr>
        <w:tc>
          <w:tcPr/>
          <w:p>
            <w:pPr>
              <w:pStyle w:val="Compact"/>
              <w:jc w:val="left"/>
            </w:pPr>
            <w:r>
              <w:t xml:space="preserve">Satisfaction</w:t>
            </w:r>
          </w:p>
        </w:tc>
        <w:tc>
          <w:tcPr/>
          <w:p>
            <w:pPr>
              <w:pStyle w:val="Compact"/>
              <w:jc w:val="left"/>
            </w:pPr>
            <w:r>
              <w:t xml:space="preserve">Survey scores from litigants (1-10 scale)</w:t>
            </w:r>
          </w:p>
        </w:tc>
      </w:tr>
    </w:tbl>
    <w:bookmarkEnd w:id="31"/>
    <w:bookmarkStart w:id="32" w:name="risk-management"/>
    <w:p>
      <w:pPr>
        <w:pStyle w:val="Heading2"/>
      </w:pPr>
      <w:r>
        <w:t xml:space="preserve">7. Risk Management</w:t>
      </w:r>
    </w:p>
    <w:p>
      <w:pPr>
        <w:pStyle w:val="FirstParagraph"/>
      </w:pPr>
      <w:r>
        <w:t xml:space="preserve">Potential risks include technical failures of the AI system, public mistrust, and legal challenges. Mitigation strategies involve:</w:t>
      </w:r>
    </w:p>
    <w:p>
      <w:pPr>
        <w:numPr>
          <w:ilvl w:val="0"/>
          <w:numId w:val="1007"/>
        </w:numPr>
        <w:pStyle w:val="Compact"/>
      </w:pPr>
      <w:r>
        <w:t xml:space="preserve">Regular audits of the AI algorithm by independent experts.</w:t>
      </w:r>
    </w:p>
    <w:p>
      <w:pPr>
        <w:numPr>
          <w:ilvl w:val="0"/>
          <w:numId w:val="1007"/>
        </w:numPr>
        <w:pStyle w:val="Compact"/>
      </w:pPr>
      <w:r>
        <w:t xml:space="preserve">Public communication campaigns in Almaty to explain the benefits and limitations of the technology.</w:t>
      </w:r>
    </w:p>
    <w:p>
      <w:pPr>
        <w:numPr>
          <w:ilvl w:val="0"/>
          <w:numId w:val="1007"/>
        </w:numPr>
        <w:pStyle w:val="Compact"/>
      </w:pPr>
      <w:r>
        <w:t xml:space="preserve">Immediate suspension of the experiment if error rates exceed 5%.</w:t>
      </w:r>
    </w:p>
    <w:bookmarkEnd w:id="32"/>
    <w:bookmarkStart w:id="33" w:name="conclusion"/>
    <w:p>
      <w:pPr>
        <w:pStyle w:val="Heading2"/>
      </w:pPr>
      <w:r>
        <w:t xml:space="preserve">8. Conclusion</w:t>
      </w:r>
    </w:p>
    <w:p>
      <w:pPr>
        <w:pStyle w:val="FirstParagraph"/>
      </w:pPr>
      <w:r>
        <w:t xml:space="preserve">This Experiment Protocol provides a structured framework for evaluating the integration of AI Judge technology in the judicial system of Almaty, Kazakhstan. By rigorously testing the system against human performance, we aim to contribute valuable insights into the future of legal technology, ensuring that any implementation enhances justice, efficiency, and fairness for all citizens.</w:t>
      </w:r>
    </w:p>
    <w:p>
      <w:pPr>
        <w:pStyle w:val="BodyText"/>
      </w:pPr>
      <w:r>
        <w:t xml:space="preserve">© 2023 Institute of Legal Informatics, Almaty, Kazakhstan. All rights reserved.</w:t>
      </w:r>
    </w:p>
    <w:p>
      <w:pPr>
        <w:pStyle w:val="BodyText"/>
      </w:pPr>
      <w:r>
        <w:t xml:space="preserve">Document ID: EP-JUDGE-KZ-2023-001</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AI Evaluation in Almaty</dc:title>
  <dc:creator/>
  <dc:language>en</dc:language>
  <cp:keywords/>
  <dcterms:created xsi:type="dcterms:W3CDTF">2026-10-10T02:33:24Z</dcterms:created>
  <dcterms:modified xsi:type="dcterms:W3CDTF">2026-10-10T02:33:24Z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