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Judicial</w:t>
      </w:r>
      <w:r>
        <w:t xml:space="preserve"> </w:t>
      </w:r>
      <w:r>
        <w:t xml:space="preserve">Decision-Making</w:t>
      </w:r>
      <w:r>
        <w:t xml:space="preserve"> </w:t>
      </w:r>
      <w:r>
        <w:t xml:space="preserve">in</w:t>
      </w:r>
      <w:r>
        <w:t xml:space="preserve"> </w:t>
      </w:r>
      <w:r>
        <w:t xml:space="preserve">Wellington</w:t>
      </w:r>
    </w:p>
    <w:bookmarkStart w:id="30" w:name="X3fc998b8801db6c19a59c0637127f27239ed206"/>
    <w:p>
      <w:pPr>
        <w:pStyle w:val="Heading1"/>
      </w:pPr>
      <w:r>
        <w:t xml:space="preserve">Experiment Protocol: Cognitive Load and Decision-Making in the New Zealand District Court System</w:t>
      </w:r>
    </w:p>
    <w:p>
      <w:pPr>
        <w:pStyle w:val="FirstParagraph"/>
      </w:pPr>
      <w:r>
        <w:rPr>
          <w:bCs/>
          <w:b/>
        </w:rPr>
        <w:t xml:space="preserve">Protocol ID:</w:t>
      </w:r>
      <w:r>
        <w:t xml:space="preserve"> </w:t>
      </w:r>
      <w:r>
        <w:t xml:space="preserve">NZ-WLG-JUD-2024-001</w:t>
      </w:r>
    </w:p>
    <w:p>
      <w:pPr>
        <w:pStyle w:val="BodyText"/>
      </w:pPr>
      <w:r>
        <w:rPr>
          <w:bCs/>
          <w:b/>
        </w:rPr>
        <w:t xml:space="preserve">Location:</w:t>
      </w:r>
      <w:r>
        <w:t xml:space="preserve"> </w:t>
      </w:r>
      <w:r>
        <w:t xml:space="preserve">Wellington District Court, Wellington, New Zealand</w:t>
      </w:r>
    </w:p>
    <w:p>
      <w:pPr>
        <w:pStyle w:val="BodyText"/>
      </w:pPr>
      <w:r>
        <w:rPr>
          <w:bCs/>
          <w:b/>
        </w:rPr>
        <w:t xml:space="preserve">Subject:</w:t>
      </w:r>
      <w:r>
        <w:t xml:space="preserve"> </w:t>
      </w:r>
      <w:r>
        <w:t xml:space="preserve">Judicial Decision-Making Processes (The Judge)</w:t>
      </w:r>
    </w:p>
    <w:p>
      <w:pPr>
        <w:pStyle w:val="BodyText"/>
      </w:pPr>
      <w:r>
        <w:rPr>
          <w:bCs/>
          <w:b/>
        </w:rPr>
        <w:t xml:space="preserve">Date:</w:t>
      </w:r>
      <w:r>
        <w:t xml:space="preserve"> </w:t>
      </w:r>
      <w:r>
        <w:t xml:space="preserve">October 2023</w:t>
      </w:r>
    </w:p>
    <w:p>
      <w:pPr>
        <w:pStyle w:val="BodyText"/>
      </w:pPr>
      <w:r>
        <w:rPr>
          <w:bCs/>
          <w:b/>
        </w:rPr>
        <w:t xml:space="preserve">Version:</w:t>
      </w:r>
      <w:r>
        <w:t xml:space="preserve"> </w:t>
      </w:r>
      <w:r>
        <w:t xml:space="preserve">1.0</w:t>
      </w:r>
    </w:p>
    <w:bookmarkStart w:id="20" w:name="introduction-and-background"/>
    <w:p>
      <w:pPr>
        <w:pStyle w:val="Heading2"/>
      </w:pPr>
      <w:r>
        <w:t xml:space="preserve">1. Introduction and Background</w:t>
      </w:r>
    </w:p>
    <w:p>
      <w:pPr>
        <w:pStyle w:val="FirstParagraph"/>
      </w:pPr>
      <w:r>
        <w:t xml:space="preserve">This Experiment Protocol outlines the methodology for a controlled observational study regarding judicial decision-making processes within the New Zealand legal framework. Specifically, this study focuses on the role of the</w:t>
      </w:r>
      <w:r>
        <w:t xml:space="preserve"> </w:t>
      </w:r>
      <w:r>
        <w:rPr>
          <w:bCs/>
          <w:b/>
        </w:rPr>
        <w:t xml:space="preserve">Judge</w:t>
      </w:r>
      <w:r>
        <w:t xml:space="preserve"> </w:t>
      </w:r>
      <w:r>
        <w:t xml:space="preserve">within the Wellington District Court. Wellington, as the capital city of New Zealand, hosts a high volume of complex litigation, making it an ideal environment for analyzing judicial cognition under pressure.</w:t>
      </w:r>
    </w:p>
    <w:p>
      <w:pPr>
        <w:pStyle w:val="BodyText"/>
      </w:pPr>
      <w:r>
        <w:t xml:space="preserve">The legal system in New Zealand is based on the common law tradition, where the</w:t>
      </w:r>
      <w:r>
        <w:t xml:space="preserve"> </w:t>
      </w:r>
      <w:r>
        <w:rPr>
          <w:bCs/>
          <w:b/>
        </w:rPr>
        <w:t xml:space="preserve">Judge</w:t>
      </w:r>
      <w:r>
        <w:t xml:space="preserve"> </w:t>
      </w:r>
      <w:r>
        <w:t xml:space="preserve">plays a pivotal role in interpreting statutes, applying precedents, and ensuring procedural fairness. However, recent psychological research suggests that cognitive fatigue and environmental factors may influence judicial rulings. This experiment aims to quantify these variables without interfering with the administration of justice or the rights of the accused.</w:t>
      </w:r>
    </w:p>
    <w:bookmarkEnd w:id="20"/>
    <w:bookmarkStart w:id="21" w:name="objectives"/>
    <w:p>
      <w:pPr>
        <w:pStyle w:val="Heading2"/>
      </w:pPr>
      <w:r>
        <w:t xml:space="preserve">2. Objectives</w:t>
      </w:r>
    </w:p>
    <w:p>
      <w:pPr>
        <w:pStyle w:val="FirstParagraph"/>
      </w:pPr>
      <w:r>
        <w:t xml:space="preserve">The primary objective of this experiment is to determine the correlation between the time of day, case complexity, and the decision-making patterns of a</w:t>
      </w:r>
      <w:r>
        <w:t xml:space="preserve"> </w:t>
      </w:r>
      <w:r>
        <w:rPr>
          <w:bCs/>
          <w:b/>
        </w:rPr>
        <w:t xml:space="preserve">Judge</w:t>
      </w:r>
      <w:r>
        <w:t xml:space="preserve"> </w:t>
      </w:r>
      <w:r>
        <w:t xml:space="preserve">in</w:t>
      </w:r>
      <w:r>
        <w:t xml:space="preserve"> </w:t>
      </w:r>
      <w:r>
        <w:rPr>
          <w:bCs/>
          <w:b/>
        </w:rPr>
        <w:t xml:space="preserve">New Zealand Wellington</w:t>
      </w:r>
      <w:r>
        <w:t xml:space="preserve">. Secondary objectives include:</w:t>
      </w:r>
    </w:p>
    <w:p>
      <w:pPr>
        <w:numPr>
          <w:ilvl w:val="0"/>
          <w:numId w:val="1001"/>
        </w:numPr>
        <w:pStyle w:val="Compact"/>
      </w:pPr>
      <w:r>
        <w:t xml:space="preserve">To assess the impact of environmental distractions in the Wellington District Courtrooms on judicial focus.</w:t>
      </w:r>
    </w:p>
    <w:p>
      <w:pPr>
        <w:numPr>
          <w:ilvl w:val="0"/>
          <w:numId w:val="1001"/>
        </w:numPr>
        <w:pStyle w:val="Compact"/>
      </w:pPr>
      <w:r>
        <w:t xml:space="preserve">To evaluate the consistency of sentencing guidelines application by the</w:t>
      </w:r>
      <w:r>
        <w:t xml:space="preserve"> </w:t>
      </w:r>
      <w:r>
        <w:rPr>
          <w:bCs/>
          <w:b/>
        </w:rPr>
        <w:t xml:space="preserve">Judge</w:t>
      </w:r>
      <w:r>
        <w:t xml:space="preserve"> </w:t>
      </w:r>
      <w:r>
        <w:t xml:space="preserve">across different sessions.</w:t>
      </w:r>
    </w:p>
    <w:p>
      <w:pPr>
        <w:numPr>
          <w:ilvl w:val="0"/>
          <w:numId w:val="1001"/>
        </w:numPr>
        <w:pStyle w:val="Compact"/>
      </w:pPr>
      <w:r>
        <w:t xml:space="preserve">To ensure that the experiment adheres strictly to the New Zealand Bill of Rights Act 1990.</w:t>
      </w:r>
    </w:p>
    <w:bookmarkEnd w:id="21"/>
    <w:bookmarkStart w:id="22" w:name="ethical-considerations-and-compliance"/>
    <w:p>
      <w:pPr>
        <w:pStyle w:val="Heading2"/>
      </w:pPr>
      <w:r>
        <w:t xml:space="preserve">3. Ethical Considerations and Compliance</w:t>
      </w:r>
    </w:p>
    <w:p>
      <w:pPr>
        <w:pStyle w:val="FirstParagraph"/>
      </w:pPr>
      <w:r>
        <w:t xml:space="preserve">Given the sensitive nature of the judiciary, this protocol prioritizes ethical compliance. The study has been reviewed by the University of Wellington Human Ethics Committee. Key ethical safeguards include:</w:t>
      </w:r>
    </w:p>
    <w:p>
      <w:pPr>
        <w:numPr>
          <w:ilvl w:val="0"/>
          <w:numId w:val="1002"/>
        </w:numPr>
        <w:pStyle w:val="Compact"/>
      </w:pPr>
      <w:r>
        <w:rPr>
          <w:bCs/>
          <w:b/>
        </w:rPr>
        <w:t xml:space="preserve">Anonymity:</w:t>
      </w:r>
      <w:r>
        <w:t xml:space="preserve"> </w:t>
      </w:r>
      <w:r>
        <w:t xml:space="preserve">The identity of the</w:t>
      </w:r>
      <w:r>
        <w:t xml:space="preserve"> </w:t>
      </w:r>
      <w:r>
        <w:rPr>
          <w:bCs/>
          <w:b/>
        </w:rPr>
        <w:t xml:space="preserve">Judge</w:t>
      </w:r>
      <w:r>
        <w:t xml:space="preserve"> </w:t>
      </w:r>
      <w:r>
        <w:t xml:space="preserve">and all litigants will be anonymized in all data sets. No names will be recorded, only case numbers and demographic aggregates.</w:t>
      </w:r>
    </w:p>
    <w:p>
      <w:pPr>
        <w:numPr>
          <w:ilvl w:val="0"/>
          <w:numId w:val="1002"/>
        </w:numPr>
        <w:pStyle w:val="Compact"/>
      </w:pPr>
      <w:r>
        <w:rPr>
          <w:bCs/>
          <w:b/>
        </w:rPr>
        <w:t xml:space="preserve">Non-Interference:</w:t>
      </w:r>
      <w:r>
        <w:t xml:space="preserve"> </w:t>
      </w:r>
      <w:r>
        <w:t xml:space="preserve">The presence of researchers in the</w:t>
      </w:r>
      <w:r>
        <w:t xml:space="preserve"> </w:t>
      </w:r>
      <w:r>
        <w:rPr>
          <w:bCs/>
          <w:b/>
        </w:rPr>
        <w:t xml:space="preserve">New Zealand Wellington</w:t>
      </w:r>
      <w:r>
        <w:t xml:space="preserve"> </w:t>
      </w:r>
      <w:r>
        <w:t xml:space="preserve">courtrooms will be passive. No interaction with the</w:t>
      </w:r>
      <w:r>
        <w:t xml:space="preserve"> </w:t>
      </w:r>
      <w:r>
        <w:rPr>
          <w:bCs/>
          <w:b/>
        </w:rPr>
        <w:t xml:space="preserve">Judge</w:t>
      </w:r>
      <w:r>
        <w:t xml:space="preserve">, counsel, or defendants is permitted during proceedings.</w:t>
      </w:r>
    </w:p>
    <w:p>
      <w:pPr>
        <w:numPr>
          <w:ilvl w:val="0"/>
          <w:numId w:val="1002"/>
        </w:numPr>
        <w:pStyle w:val="Compact"/>
      </w:pPr>
      <w:r>
        <w:rPr>
          <w:bCs/>
          <w:b/>
        </w:rPr>
        <w:t xml:space="preserve">Confidentiality:</w:t>
      </w:r>
      <w:r>
        <w:t xml:space="preserve"> </w:t>
      </w:r>
      <w:r>
        <w:t xml:space="preserve">All data will be stored on encrypted servers located within New Zealand, complying with the Privacy Act 2020.</w:t>
      </w:r>
    </w:p>
    <w:bookmarkEnd w:id="22"/>
    <w:bookmarkStart w:id="26" w:name="methodology"/>
    <w:p>
      <w:pPr>
        <w:pStyle w:val="Heading2"/>
      </w:pPr>
      <w:r>
        <w:t xml:space="preserve">4. Methodology</w:t>
      </w:r>
    </w:p>
    <w:bookmarkStart w:id="23" w:name="study-setting"/>
    <w:p>
      <w:pPr>
        <w:pStyle w:val="Heading3"/>
      </w:pPr>
      <w:r>
        <w:t xml:space="preserve">4.1 Study Setting</w:t>
      </w:r>
    </w:p>
    <w:p>
      <w:pPr>
        <w:pStyle w:val="FirstParagraph"/>
      </w:pPr>
      <w:r>
        <w:t xml:space="preserve">The experiment will take place exclusively within the Wellington District Court building. This location was selected due to its central role in the</w:t>
      </w:r>
      <w:r>
        <w:t xml:space="preserve"> </w:t>
      </w:r>
      <w:r>
        <w:rPr>
          <w:bCs/>
          <w:b/>
        </w:rPr>
        <w:t xml:space="preserve">New Zealand Wellington</w:t>
      </w:r>
      <w:r>
        <w:t xml:space="preserve"> </w:t>
      </w:r>
      <w:r>
        <w:t xml:space="preserve">legal ecosystem. The study will utilize Courtrooms 1 through 4, which handle a mix of criminal, civil, and family matters.</w:t>
      </w:r>
    </w:p>
    <w:bookmarkEnd w:id="23"/>
    <w:bookmarkStart w:id="24" w:name="participants"/>
    <w:p>
      <w:pPr>
        <w:pStyle w:val="Heading3"/>
      </w:pPr>
      <w:r>
        <w:t xml:space="preserve">4.2 Participants</w:t>
      </w:r>
    </w:p>
    <w:p>
      <w:pPr>
        <w:pStyle w:val="FirstParagraph"/>
      </w:pPr>
      <w:r>
        <w:t xml:space="preserve">The primary subject of observation is the</w:t>
      </w:r>
      <w:r>
        <w:t xml:space="preserve"> </w:t>
      </w:r>
      <w:r>
        <w:rPr>
          <w:bCs/>
          <w:b/>
        </w:rPr>
        <w:t xml:space="preserve">Judge</w:t>
      </w:r>
      <w:r>
        <w:t xml:space="preserve">. The study will observe a panel of five District Court Judges over a period of six months. These judges were selected based on their tenure (minimum 5 years) and their caseload volume.</w:t>
      </w:r>
    </w:p>
    <w:bookmarkEnd w:id="24"/>
    <w:bookmarkStart w:id="25" w:name="procedure"/>
    <w:p>
      <w:pPr>
        <w:pStyle w:val="Heading3"/>
      </w:pPr>
      <w:r>
        <w:t xml:space="preserve">4.3 Procedure</w:t>
      </w:r>
    </w:p>
    <w:p>
      <w:pPr>
        <w:pStyle w:val="FirstParagraph"/>
      </w:pPr>
      <w:r>
        <w:t xml:space="preserve">The experiment follows a longitudinal observational design. Researchers will record the following data points for every hearing attended:</w:t>
      </w:r>
    </w:p>
    <w:p>
      <w:pPr>
        <w:numPr>
          <w:ilvl w:val="0"/>
          <w:numId w:val="1003"/>
        </w:numPr>
        <w:pStyle w:val="Compact"/>
      </w:pPr>
      <w:r>
        <w:rPr>
          <w:bCs/>
          <w:b/>
        </w:rPr>
        <w:t xml:space="preserve">Time of Decision:</w:t>
      </w:r>
      <w:r>
        <w:t xml:space="preserve"> </w:t>
      </w:r>
      <w:r>
        <w:t xml:space="preserve">The exact timestamp when the</w:t>
      </w:r>
      <w:r>
        <w:t xml:space="preserve"> </w:t>
      </w:r>
      <w:r>
        <w:rPr>
          <w:bCs/>
          <w:b/>
        </w:rPr>
        <w:t xml:space="preserve">Judge</w:t>
      </w:r>
      <w:r>
        <w:t xml:space="preserve"> </w:t>
      </w:r>
      <w:r>
        <w:t xml:space="preserve">delivers a ruling or sentence.</w:t>
      </w:r>
    </w:p>
    <w:p>
      <w:pPr>
        <w:numPr>
          <w:ilvl w:val="0"/>
          <w:numId w:val="1003"/>
        </w:numPr>
        <w:pStyle w:val="Compact"/>
      </w:pPr>
      <w:r>
        <w:rPr>
          <w:bCs/>
          <w:b/>
        </w:rPr>
        <w:t xml:space="preserve">Cognitive Load Indicators:</w:t>
      </w:r>
      <w:r>
        <w:t xml:space="preserve"> </w:t>
      </w:r>
      <w:r>
        <w:t xml:space="preserve">Observable behaviors such as pauses, reference to notes, and verbal hesitations.</w:t>
      </w:r>
    </w:p>
    <w:p>
      <w:pPr>
        <w:numPr>
          <w:ilvl w:val="0"/>
          <w:numId w:val="1003"/>
        </w:numPr>
        <w:pStyle w:val="Compact"/>
      </w:pPr>
      <w:r>
        <w:rPr>
          <w:bCs/>
          <w:b/>
        </w:rPr>
        <w:t xml:space="preserve">Case Complexity Score:</w:t>
      </w:r>
      <w:r>
        <w:t xml:space="preserve"> </w:t>
      </w:r>
      <w:r>
        <w:t xml:space="preserve">A pre-determined score assigned to each case based on the number of charges or legal arguments involved.</w:t>
      </w:r>
    </w:p>
    <w:p>
      <w:pPr>
        <w:numPr>
          <w:ilvl w:val="0"/>
          <w:numId w:val="1003"/>
        </w:numPr>
        <w:pStyle w:val="Compact"/>
      </w:pPr>
      <w:r>
        <w:rPr>
          <w:bCs/>
          <w:b/>
        </w:rPr>
        <w:t xml:space="preserve">Outcome Variance:</w:t>
      </w:r>
      <w:r>
        <w:t xml:space="preserve"> </w:t>
      </w:r>
      <w:r>
        <w:t xml:space="preserve">Comparison of the</w:t>
      </w:r>
      <w:r>
        <w:t xml:space="preserve"> </w:t>
      </w:r>
      <w:r>
        <w:rPr>
          <w:bCs/>
          <w:b/>
        </w:rPr>
        <w:t xml:space="preserve">Judge</w:t>
      </w:r>
      <w:r>
        <w:t xml:space="preserve">'s decision against the standard sentencing guidelines for</w:t>
      </w:r>
      <w:r>
        <w:t xml:space="preserve"> </w:t>
      </w:r>
      <w:r>
        <w:rPr>
          <w:bCs/>
          <w:b/>
        </w:rPr>
        <w:t xml:space="preserve">New Zealand Wellington</w:t>
      </w:r>
      <w:r>
        <w:t xml:space="preserve"> </w:t>
      </w:r>
      <w:r>
        <w:t xml:space="preserve">courts.</w:t>
      </w:r>
    </w:p>
    <w:p>
      <w:pPr>
        <w:pStyle w:val="FirstParagraph"/>
      </w:pPr>
      <w:r>
        <w:t xml:space="preserve">Special attention will be paid to the "lunchtime effect," a phenomenon where decision-making patterns may shift before and after breaks. In the context of</w:t>
      </w:r>
      <w:r>
        <w:t xml:space="preserve"> </w:t>
      </w:r>
      <w:r>
        <w:rPr>
          <w:bCs/>
          <w:b/>
        </w:rPr>
        <w:t xml:space="preserve">New Zealand Wellington</w:t>
      </w:r>
      <w:r>
        <w:t xml:space="preserve">, where court schedules are rigorous, this factor is critical.</w:t>
      </w:r>
    </w:p>
    <w:bookmarkEnd w:id="25"/>
    <w:bookmarkEnd w:id="26"/>
    <w:bookmarkStart w:id="27" w:name="data-analysis"/>
    <w:p>
      <w:pPr>
        <w:pStyle w:val="Heading2"/>
      </w:pPr>
      <w:r>
        <w:t xml:space="preserve">5. Data Analysis</w:t>
      </w:r>
    </w:p>
    <w:p>
      <w:pPr>
        <w:pStyle w:val="FirstParagraph"/>
      </w:pPr>
      <w:r>
        <w:t xml:space="preserve">Data collected from the</w:t>
      </w:r>
      <w:r>
        <w:t xml:space="preserve"> </w:t>
      </w:r>
      <w:r>
        <w:rPr>
          <w:bCs/>
          <w:b/>
        </w:rPr>
        <w:t xml:space="preserve">Judge</w:t>
      </w:r>
      <w:r>
        <w:t xml:space="preserve"> </w:t>
      </w:r>
      <w:r>
        <w:t xml:space="preserve">observations will be analyzed using statistical software. We will employ regression analysis to determine if there is a significant relationship between the time of day and the leniency or severity of the</w:t>
      </w:r>
      <w:r>
        <w:t xml:space="preserve"> </w:t>
      </w:r>
      <w:r>
        <w:rPr>
          <w:bCs/>
          <w:b/>
        </w:rPr>
        <w:t xml:space="preserve">Judge</w:t>
      </w:r>
      <w:r>
        <w:t xml:space="preserve">'s rulings.</w:t>
      </w:r>
    </w:p>
    <w:p>
      <w:pPr>
        <w:pStyle w:val="BodyText"/>
      </w:pPr>
      <w:r>
        <w:t xml:space="preserve">Furthermore, we will conduct a comparative analysis between different judges in Wellington to see if individual cognitive styles mitigate or exacerbate fatigue-related decision errors. This will help distinguish between systemic issues in the</w:t>
      </w:r>
      <w:r>
        <w:t xml:space="preserve"> </w:t>
      </w:r>
      <w:r>
        <w:rPr>
          <w:bCs/>
          <w:b/>
        </w:rPr>
        <w:t xml:space="preserve">New Zealand Wellington</w:t>
      </w:r>
      <w:r>
        <w:t xml:space="preserve"> </w:t>
      </w:r>
      <w:r>
        <w:t xml:space="preserve">court system and individual judicial traits.</w:t>
      </w:r>
    </w:p>
    <w:bookmarkEnd w:id="27"/>
    <w:bookmarkStart w:id="28" w:name="risk-management"/>
    <w:p>
      <w:pPr>
        <w:pStyle w:val="Heading2"/>
      </w:pPr>
      <w:r>
        <w:t xml:space="preserve">6. Risk Management</w:t>
      </w:r>
    </w:p>
    <w:p>
      <w:pPr>
        <w:pStyle w:val="FirstParagraph"/>
      </w:pPr>
      <w:r>
        <w:t xml:space="preserve">The primary risk is the potential for public misinterpretation of the data. It is crucial to communicate that this experiment does not imply that any specific</w:t>
      </w:r>
      <w:r>
        <w:t xml:space="preserve"> </w:t>
      </w:r>
      <w:r>
        <w:rPr>
          <w:bCs/>
          <w:b/>
        </w:rPr>
        <w:t xml:space="preserve">Judge</w:t>
      </w:r>
      <w:r>
        <w:t xml:space="preserve"> </w:t>
      </w:r>
      <w:r>
        <w:t xml:space="preserve">is biased or incompetent. Rather, it seeks to understand human cognitive limits within the high-stakes environment of the</w:t>
      </w:r>
      <w:r>
        <w:t xml:space="preserve"> </w:t>
      </w:r>
      <w:r>
        <w:rPr>
          <w:bCs/>
          <w:b/>
        </w:rPr>
        <w:t xml:space="preserve">New Zealand Wellington</w:t>
      </w:r>
      <w:r>
        <w:t xml:space="preserve"> </w:t>
      </w:r>
      <w:r>
        <w:t xml:space="preserve">judiciary.</w:t>
      </w:r>
    </w:p>
    <w:p>
      <w:pPr>
        <w:pStyle w:val="BodyText"/>
      </w:pPr>
      <w:r>
        <w:t xml:space="preserve">To mitigate this, all findings will be reviewed by a legal advisory board before publication. Additionally, the protocol includes a "stop rule": if the presence of researchers is deemed to be affecting the conduct of the</w:t>
      </w:r>
      <w:r>
        <w:t xml:space="preserve"> </w:t>
      </w:r>
      <w:r>
        <w:rPr>
          <w:bCs/>
          <w:b/>
        </w:rPr>
        <w:t xml:space="preserve">Judge</w:t>
      </w:r>
      <w:r>
        <w:t xml:space="preserve"> </w:t>
      </w:r>
      <w:r>
        <w:t xml:space="preserve">or the proceedings, the experiment will be immediately suspended.</w:t>
      </w:r>
    </w:p>
    <w:bookmarkEnd w:id="28"/>
    <w:bookmarkStart w:id="29" w:name="conclusion"/>
    <w:p>
      <w:pPr>
        <w:pStyle w:val="Heading2"/>
      </w:pPr>
      <w:r>
        <w:t xml:space="preserve">7. Conclusion</w:t>
      </w:r>
    </w:p>
    <w:p>
      <w:pPr>
        <w:pStyle w:val="FirstParagraph"/>
      </w:pPr>
      <w:r>
        <w:t xml:space="preserve">This Experiment Protocol provides a robust framework for investigating the cognitive processes of a</w:t>
      </w:r>
      <w:r>
        <w:t xml:space="preserve"> </w:t>
      </w:r>
      <w:r>
        <w:rPr>
          <w:bCs/>
          <w:b/>
        </w:rPr>
        <w:t xml:space="preserve">Judge</w:t>
      </w:r>
      <w:r>
        <w:t xml:space="preserve"> </w:t>
      </w:r>
      <w:r>
        <w:t xml:space="preserve">in</w:t>
      </w:r>
      <w:r>
        <w:t xml:space="preserve"> </w:t>
      </w:r>
      <w:r>
        <w:rPr>
          <w:bCs/>
          <w:b/>
        </w:rPr>
        <w:t xml:space="preserve">New Zealand Wellington</w:t>
      </w:r>
      <w:r>
        <w:t xml:space="preserve">. By adhering to strict ethical guidelines and utilizing a rigorous observational methodology, this study aims to contribute valuable insights to the fields of legal psychology and judicial administration. The ultimate goal is to enhance the fairness and efficiency of the New Zealand justice system by understanding the human elements that influence judicial decision-making.</w:t>
      </w:r>
    </w:p>
    <w:p>
      <w:pPr>
        <w:pStyle w:val="BodyText"/>
      </w:pPr>
      <w:r>
        <w:t xml:space="preserve">© 2023 Wellington Judicial Research Initiative. All rights reserved.</w:t>
      </w:r>
    </w:p>
    <w:p>
      <w:pPr>
        <w:pStyle w:val="BodyText"/>
      </w:pPr>
      <w:r>
        <w:t xml:space="preserve">This document is for academic and research purposes only.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Judicial Decision-Making in Wellington</dc:title>
  <dc:creator/>
  <dc:language>en</dc:language>
  <cp:keywords/>
  <dcterms:created xsi:type="dcterms:W3CDTF">2026-10-10T07:35:51Z</dcterms:created>
  <dcterms:modified xsi:type="dcterms:W3CDTF">2026-10-10T07:35:51Z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