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AI</w:t>
      </w:r>
      <w:r>
        <w:t xml:space="preserve"> </w:t>
      </w:r>
      <w:r>
        <w:t xml:space="preserve">Evaluation</w:t>
      </w:r>
      <w:r>
        <w:t xml:space="preserve"> </w:t>
      </w:r>
      <w:r>
        <w:t xml:space="preserve">in</w:t>
      </w:r>
      <w:r>
        <w:t xml:space="preserve"> </w:t>
      </w:r>
      <w:r>
        <w:t xml:space="preserve">Manila</w:t>
      </w:r>
    </w:p>
    <w:bookmarkStart w:id="20" w:name="Xc21be6c53650479f054c66de5478f497cbfb82f"/>
    <w:p>
      <w:pPr>
        <w:pStyle w:val="Heading1"/>
      </w:pPr>
      <w:r>
        <w:t xml:space="preserve">Experiment Protocol: Judicial Decision Support System Evaluation</w:t>
      </w:r>
    </w:p>
    <w:p>
      <w:pPr>
        <w:pStyle w:val="FirstParagraph"/>
      </w:pPr>
      <w:r>
        <w:rPr>
          <w:bCs/>
          <w:b/>
        </w:rPr>
        <w:t xml:space="preserve">Project Title:</w:t>
      </w:r>
      <w:r>
        <w:t xml:space="preserve"> </w:t>
      </w:r>
      <w:r>
        <w:t xml:space="preserve">Comparative Analysis of Human vs. Algorithmic Adjudication in Civil Disputes</w:t>
      </w:r>
    </w:p>
    <w:p>
      <w:pPr>
        <w:pStyle w:val="BodyText"/>
      </w:pPr>
      <w:r>
        <w:rPr>
          <w:bCs/>
          <w:b/>
        </w:rPr>
        <w:t xml:space="preserve">Location:</w:t>
      </w:r>
      <w:r>
        <w:t xml:space="preserve"> </w:t>
      </w:r>
      <w:r>
        <w:t xml:space="preserve">Manila, Philippines (Supreme Court Complex and Regional Trial Courts)</w:t>
      </w:r>
    </w:p>
    <w:p>
      <w:pPr>
        <w:pStyle w:val="BodyText"/>
      </w:pPr>
      <w:r>
        <w:rPr>
          <w:bCs/>
          <w:b/>
        </w:rPr>
        <w:t xml:space="preserve">Subject:</w:t>
      </w:r>
      <w:r>
        <w:t xml:space="preserve"> </w:t>
      </w:r>
      <w:r>
        <w:t xml:space="preserve">The Role of the Judge in an AI-Assisted Environment</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document outlines the comprehensive Experiment Protocol for evaluating the efficacy, fairness, and efficiency of an Artificial Intelligence (AI) decision support system when utilized by a Judge within the Philippine judicial system. The primary objective is to determine how algorithmic assistance impacts the decision-making process of a Judge in Manila, specifically regarding case resolution time, consistency of rulings, and adherence to the Civil Code of the Philippines.</w:t>
      </w:r>
    </w:p>
    <w:p>
      <w:pPr>
        <w:pStyle w:val="BodyText"/>
      </w:pPr>
      <w:r>
        <w:t xml:space="preserve">The Philippines faces significant challenges regarding judicial backlog. By introducing this experiment in Manila, the center of the country's legal activity, we aim to gather empirical data on whether AI tools can serve as a viable adjunct to the traditional role of the Judge without compromising judicial independence or due process.</w:t>
      </w:r>
    </w:p>
    <w:bookmarkEnd w:id="21"/>
    <w:bookmarkStart w:id="22" w:name="scope-and-context-philippines-manila"/>
    <w:p>
      <w:pPr>
        <w:pStyle w:val="Heading2"/>
      </w:pPr>
      <w:r>
        <w:t xml:space="preserve">2. Scope and Context: Philippines Manila</w:t>
      </w:r>
    </w:p>
    <w:p>
      <w:pPr>
        <w:pStyle w:val="FirstParagraph"/>
      </w:pPr>
      <w:r>
        <w:t xml:space="preserve">The experiment will be conducted exclusively within the jurisdiction of Manila, Philippines. This location was selected due to the high volume of cases processed by the Regional Trial Courts (RTC) in Metro Manila. The legal framework governing this experiment is the Constitution of the Republic of the Philippines, the Rules of Court, and the Data Privacy Act of 2012.</w:t>
      </w:r>
    </w:p>
    <w:p>
      <w:pPr>
        <w:pStyle w:val="BodyText"/>
      </w:pPr>
      <w:r>
        <w:t xml:space="preserve">The cultural and legal context of Manila is critical. The protocol acknowledges the unique procedural nuances of Philippine law, including the heavy reliance on written pleadings and the specific hierarchy of courts. The experiment must respect the local legal traditions while testing modern technological integration.</w:t>
      </w:r>
    </w:p>
    <w:bookmarkEnd w:id="22"/>
    <w:bookmarkStart w:id="23" w:name="the-role-of-the-judge"/>
    <w:p>
      <w:pPr>
        <w:pStyle w:val="Heading2"/>
      </w:pPr>
      <w:r>
        <w:t xml:space="preserve">3. The Role of the Judge</w:t>
      </w:r>
    </w:p>
    <w:p>
      <w:pPr>
        <w:pStyle w:val="FirstParagraph"/>
      </w:pPr>
      <w:r>
        <w:t xml:space="preserve">Central to this protocol is the definition of the Judge's role. In this experiment, the Judge remains the sole arbiter of fact and law. The AI system is strictly a "tool," not a "decision-maker." The protocol is designed to test the cognitive load on the Judge and the potential for "automation bias," where a Judge might over-rely on the AI's suggestions.</w:t>
      </w:r>
    </w:p>
    <w:p>
      <w:pPr>
        <w:pStyle w:val="BodyText"/>
      </w:pPr>
      <w:r>
        <w:t xml:space="preserve">The experiment will observe the Judge in two distinct modes:</w:t>
      </w:r>
    </w:p>
    <w:p>
      <w:pPr>
        <w:numPr>
          <w:ilvl w:val="0"/>
          <w:numId w:val="1001"/>
        </w:numPr>
        <w:pStyle w:val="Compact"/>
      </w:pPr>
      <w:r>
        <w:rPr>
          <w:bCs/>
          <w:b/>
        </w:rPr>
        <w:t xml:space="preserve">Control Mode:</w:t>
      </w:r>
      <w:r>
        <w:t xml:space="preserve"> </w:t>
      </w:r>
      <w:r>
        <w:t xml:space="preserve">The Judge reviews cases using traditional methods (physical files, standard legal research).</w:t>
      </w:r>
    </w:p>
    <w:p>
      <w:pPr>
        <w:numPr>
          <w:ilvl w:val="0"/>
          <w:numId w:val="1001"/>
        </w:numPr>
        <w:pStyle w:val="Compact"/>
      </w:pPr>
      <w:r>
        <w:rPr>
          <w:bCs/>
          <w:b/>
        </w:rPr>
        <w:t xml:space="preserve">Experimental Mode:</w:t>
      </w:r>
      <w:r>
        <w:t xml:space="preserve"> </w:t>
      </w:r>
      <w:r>
        <w:t xml:space="preserve">The Judge reviews cases with the assistance of the AI system, which provides case law summaries, precedent matching, and draft disposition recommendations.</w:t>
      </w:r>
    </w:p>
    <w:bookmarkEnd w:id="23"/>
    <w:bookmarkStart w:id="27" w:name="methodology"/>
    <w:p>
      <w:pPr>
        <w:pStyle w:val="Heading2"/>
      </w:pPr>
      <w:r>
        <w:t xml:space="preserve">4. Methodology</w:t>
      </w:r>
    </w:p>
    <w:bookmarkStart w:id="24" w:name="case-selection"/>
    <w:p>
      <w:pPr>
        <w:pStyle w:val="Heading3"/>
      </w:pPr>
      <w:r>
        <w:t xml:space="preserve">4.1. Case Selection</w:t>
      </w:r>
    </w:p>
    <w:p>
      <w:pPr>
        <w:pStyle w:val="FirstParagraph"/>
      </w:pPr>
      <w:r>
        <w:t xml:space="preserve">The experiment will utilize a randomized selection of civil cases currently pending in Manila courts. These cases will be limited to specific categories to ensure consistency, such as:</w:t>
      </w:r>
    </w:p>
    <w:p>
      <w:pPr>
        <w:numPr>
          <w:ilvl w:val="0"/>
          <w:numId w:val="1002"/>
        </w:numPr>
        <w:pStyle w:val="Compact"/>
      </w:pPr>
      <w:r>
        <w:t xml:space="preserve">Small claims cases.</w:t>
      </w:r>
    </w:p>
    <w:p>
      <w:pPr>
        <w:numPr>
          <w:ilvl w:val="0"/>
          <w:numId w:val="1002"/>
        </w:numPr>
        <w:pStyle w:val="Compact"/>
      </w:pPr>
      <w:r>
        <w:t xml:space="preserve">Contract disputes.</w:t>
      </w:r>
    </w:p>
    <w:p>
      <w:pPr>
        <w:numPr>
          <w:ilvl w:val="0"/>
          <w:numId w:val="1002"/>
        </w:numPr>
        <w:pStyle w:val="Compact"/>
      </w:pPr>
      <w:r>
        <w:t xml:space="preserve">Property disputes.</w:t>
      </w:r>
    </w:p>
    <w:p>
      <w:pPr>
        <w:pStyle w:val="FirstParagraph"/>
      </w:pPr>
      <w:r>
        <w:t xml:space="preserve">Criminal cases are excluded from this initial phase due to the heightened constitutional requirements regarding liberty and due process in the Philippines.</w:t>
      </w:r>
    </w:p>
    <w:bookmarkEnd w:id="24"/>
    <w:bookmarkStart w:id="25" w:name="participant-recruitment"/>
    <w:p>
      <w:pPr>
        <w:pStyle w:val="Heading3"/>
      </w:pPr>
      <w:r>
        <w:t xml:space="preserve">4.2. Participant Recruitment</w:t>
      </w:r>
    </w:p>
    <w:p>
      <w:pPr>
        <w:pStyle w:val="FirstParagraph"/>
      </w:pPr>
      <w:r>
        <w:t xml:space="preserve">Participating Judges will be selected from the RTCs in Manila based on voluntary consent and seniority. To ensure statistical validity, at least ten Judges will participate. All participants must undergo training on the AI system to ensure they understand its limitations and capabilities.</w:t>
      </w:r>
    </w:p>
    <w:bookmarkEnd w:id="25"/>
    <w:bookmarkStart w:id="26" w:name="data-collection"/>
    <w:p>
      <w:pPr>
        <w:pStyle w:val="Heading3"/>
      </w:pPr>
      <w:r>
        <w:t xml:space="preserve">4.3. Data Collection</w:t>
      </w:r>
    </w:p>
    <w:p>
      <w:pPr>
        <w:pStyle w:val="FirstParagraph"/>
      </w:pPr>
      <w:r>
        <w:t xml:space="preserve">Data will be collected over a period of six months. Key metrics include:</w:t>
      </w:r>
    </w:p>
    <w:p>
      <w:pPr>
        <w:numPr>
          <w:ilvl w:val="0"/>
          <w:numId w:val="1003"/>
        </w:numPr>
        <w:pStyle w:val="Compact"/>
      </w:pPr>
      <w:r>
        <w:rPr>
          <w:bCs/>
          <w:b/>
        </w:rPr>
        <w:t xml:space="preserve">Time Efficiency:</w:t>
      </w:r>
      <w:r>
        <w:t xml:space="preserve"> </w:t>
      </w:r>
      <w:r>
        <w:t xml:space="preserve">The duration from case assignment to final disposition.</w:t>
      </w:r>
    </w:p>
    <w:p>
      <w:pPr>
        <w:numPr>
          <w:ilvl w:val="0"/>
          <w:numId w:val="1003"/>
        </w:numPr>
        <w:pStyle w:val="Compact"/>
      </w:pPr>
      <w:r>
        <w:rPr>
          <w:bCs/>
          <w:b/>
        </w:rPr>
        <w:t xml:space="preserve">Decision Consistency:</w:t>
      </w:r>
      <w:r>
        <w:t xml:space="preserve"> </w:t>
      </w:r>
      <w:r>
        <w:t xml:space="preserve">The variance in rulings for similar fact patterns across different Judges.</w:t>
      </w:r>
    </w:p>
    <w:p>
      <w:pPr>
        <w:numPr>
          <w:ilvl w:val="0"/>
          <w:numId w:val="1003"/>
        </w:numPr>
        <w:pStyle w:val="Compact"/>
      </w:pPr>
      <w:r>
        <w:rPr>
          <w:bCs/>
          <w:b/>
        </w:rPr>
        <w:t xml:space="preserve">Judge Satisfaction:</w:t>
      </w:r>
      <w:r>
        <w:t xml:space="preserve"> </w:t>
      </w:r>
      <w:r>
        <w:t xml:space="preserve">Surveys administered to Judges regarding their experience with the tool.</w:t>
      </w:r>
    </w:p>
    <w:p>
      <w:pPr>
        <w:numPr>
          <w:ilvl w:val="0"/>
          <w:numId w:val="1003"/>
        </w:numPr>
        <w:pStyle w:val="Compact"/>
      </w:pPr>
      <w:r>
        <w:rPr>
          <w:bCs/>
          <w:b/>
        </w:rPr>
        <w:t xml:space="preserve">Appeal Rates:</w:t>
      </w:r>
      <w:r>
        <w:t xml:space="preserve"> </w:t>
      </w:r>
      <w:r>
        <w:t xml:space="preserve">Monitoring if AI-assisted decisions are appealed more frequently than traditional decisions.</w:t>
      </w:r>
    </w:p>
    <w:bookmarkEnd w:id="26"/>
    <w:bookmarkEnd w:id="27"/>
    <w:bookmarkStart w:id="28" w:name="ethical-considerations-and-privacy"/>
    <w:p>
      <w:pPr>
        <w:pStyle w:val="Heading2"/>
      </w:pPr>
      <w:r>
        <w:t xml:space="preserve">5. Ethical Considerations and Privacy</w:t>
      </w:r>
    </w:p>
    <w:p>
      <w:pPr>
        <w:pStyle w:val="FirstParagraph"/>
      </w:pPr>
      <w:r>
        <w:t xml:space="preserve">Given the sensitive nature of judicial proceedings in the Philippines, strict ethical guidelines apply. The experiment must comply with the Data Privacy Act of 2012. All personal data of litigants involved in the experiment must be anonymized before being processed by the AI system.</w:t>
      </w:r>
    </w:p>
    <w:p>
      <w:pPr>
        <w:pStyle w:val="BodyText"/>
      </w:pPr>
      <w:r>
        <w:t xml:space="preserve">Furthermore, the protocol ensures that the use of AI does not infringe upon the right to a fair trial. Litigants will be informed that an AI tool is being used as a research aid by the Judge, ensuring transparency. The experiment will be overseen by an Ethics Review Board comprising legal scholars, technologists, and representatives from the Supreme Court of the Philippines.</w:t>
      </w:r>
    </w:p>
    <w:bookmarkEnd w:id="28"/>
    <w:bookmarkStart w:id="29" w:name="risk-management"/>
    <w:p>
      <w:pPr>
        <w:pStyle w:val="Heading2"/>
      </w:pPr>
      <w:r>
        <w:t xml:space="preserve">6. Risk Management</w:t>
      </w:r>
    </w:p>
    <w:p>
      <w:pPr>
        <w:pStyle w:val="FirstParagraph"/>
      </w:pPr>
      <w:r>
        <w:t xml:space="preserve">Potential risks include technical failures, data breaches, and algorithmic bias. To mitigate these:</w:t>
      </w:r>
    </w:p>
    <w:p>
      <w:pPr>
        <w:numPr>
          <w:ilvl w:val="0"/>
          <w:numId w:val="1004"/>
        </w:numPr>
        <w:pStyle w:val="Compact"/>
      </w:pPr>
      <w:r>
        <w:rPr>
          <w:bCs/>
          <w:b/>
        </w:rPr>
        <w:t xml:space="preserve">Technical Failures:</w:t>
      </w:r>
      <w:r>
        <w:t xml:space="preserve"> </w:t>
      </w:r>
      <w:r>
        <w:t xml:space="preserve">Judges will have the option to revert to Control Mode immediately if the system malfunctions.</w:t>
      </w:r>
    </w:p>
    <w:p>
      <w:pPr>
        <w:numPr>
          <w:ilvl w:val="0"/>
          <w:numId w:val="1004"/>
        </w:numPr>
        <w:pStyle w:val="Compact"/>
      </w:pPr>
      <w:r>
        <w:rPr>
          <w:bCs/>
          <w:b/>
        </w:rPr>
        <w:t xml:space="preserve">Algorithmic Bias:</w:t>
      </w:r>
      <w:r>
        <w:t xml:space="preserve"> </w:t>
      </w:r>
      <w:r>
        <w:t xml:space="preserve">The AI model will be regularly audited to ensure it does not exhibit bias against specific demographics prevalent in Manila.</w:t>
      </w:r>
    </w:p>
    <w:p>
      <w:pPr>
        <w:numPr>
          <w:ilvl w:val="0"/>
          <w:numId w:val="1004"/>
        </w:numPr>
        <w:pStyle w:val="Compact"/>
      </w:pPr>
      <w:r>
        <w:rPr>
          <w:bCs/>
          <w:b/>
        </w:rPr>
        <w:t xml:space="preserve">Legal Challenges:</w:t>
      </w:r>
      <w:r>
        <w:t xml:space="preserve"> </w:t>
      </w:r>
      <w:r>
        <w:t xml:space="preserve">A legal task force will be on standby to address any motions filed by litigants challenging the validity of the experiment.</w:t>
      </w:r>
    </w:p>
    <w:bookmarkEnd w:id="29"/>
    <w:bookmarkStart w:id="30" w:name="conclusion-and-expected-outcomes"/>
    <w:p>
      <w:pPr>
        <w:pStyle w:val="Heading2"/>
      </w:pPr>
      <w:r>
        <w:t xml:space="preserve">7. Conclusion and Expected Outcomes</w:t>
      </w:r>
    </w:p>
    <w:p>
      <w:pPr>
        <w:pStyle w:val="FirstParagraph"/>
      </w:pPr>
      <w:r>
        <w:t xml:space="preserve">This Experiment Protocol aims to provide a rigorous, data-driven assessment of AI integration in the Philippine judiciary. By focusing on the Judge in Manila, we hope to create a model that balances technological innovation with the solemn responsibilities of the bench. The expected outcome is a set of guidelines that can help the Supreme Court of the Philippines determine the future role of AI in enhancing judicial efficiency while upholding the rule of law.</w:t>
      </w:r>
    </w:p>
    <w:bookmarkEnd w:id="30"/>
    <w:p>
      <w:pPr>
        <w:pStyle w:val="BodyText"/>
      </w:pPr>
      <w:r>
        <w:t xml:space="preserve">Document Classification: Internal Use Only</w:t>
      </w:r>
      <w:r>
        <w:br/>
      </w:r>
      <w:r>
        <w:t xml:space="preserve">Prepared for the Judicial Technology Initiative, Manila, Philippines.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AI Evaluation in Manila</dc:title>
  <dc:creator/>
  <dc:language>en</dc:language>
  <cp:keywords/>
  <dcterms:created xsi:type="dcterms:W3CDTF">2026-10-10T03:07:19Z</dcterms:created>
  <dcterms:modified xsi:type="dcterms:W3CDTF">2026-10-10T03:07:19Z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