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Thailand</w:t>
      </w:r>
      <w:r>
        <w:t xml:space="preserve"> </w:t>
      </w:r>
      <w:r>
        <w:t xml:space="preserve">Bangkok</w:t>
      </w:r>
    </w:p>
    <w:bookmarkStart w:id="31" w:name="X4c086d3d8a1a763e9aa11d6c6e0f03c02507a60"/>
    <w:p>
      <w:pPr>
        <w:pStyle w:val="Heading1"/>
      </w:pPr>
      <w:r>
        <w:t xml:space="preserve">Experiment Protocol: Cognitive Load and Decision-Making Efficiency of the Judge in Thailand Bangkok</w:t>
      </w:r>
    </w:p>
    <w:p>
      <w:pPr>
        <w:pStyle w:val="FirstParagraph"/>
      </w:pPr>
      <w:r>
        <w:rPr>
          <w:bCs/>
          <w:b/>
        </w:rPr>
        <w:t xml:space="preserve">Protocol ID:</w:t>
      </w:r>
      <w:r>
        <w:t xml:space="preserve"> </w:t>
      </w:r>
      <w:r>
        <w:t xml:space="preserve">TH-BKK-JUD-2024-001</w:t>
      </w:r>
      <w:r>
        <w:br/>
      </w:r>
      <w:r>
        <w:rPr>
          <w:bCs/>
          <w:b/>
        </w:rPr>
        <w:t xml:space="preserve">Location:</w:t>
      </w:r>
      <w:r>
        <w:t xml:space="preserve"> </w:t>
      </w:r>
      <w:r>
        <w:t xml:space="preserve">Supreme Court of Thailand, Bangkok</w:t>
      </w:r>
      <w:r>
        <w:br/>
      </w:r>
      <w:r>
        <w:rPr>
          <w:bCs/>
          <w:b/>
        </w:rPr>
        <w:t xml:space="preserve">Subject:</w:t>
      </w:r>
      <w:r>
        <w:t xml:space="preserve"> </w:t>
      </w:r>
      <w:r>
        <w:t xml:space="preserve">Judicial Performance Analysis</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20" w:name="introduction-and-rationale"/>
    <w:p>
      <w:pPr>
        <w:pStyle w:val="Heading2"/>
      </w:pPr>
      <w:r>
        <w:t xml:space="preserve">1. Introduction and Rationale</w:t>
      </w:r>
    </w:p>
    <w:p>
      <w:pPr>
        <w:pStyle w:val="FirstParagraph"/>
      </w:pPr>
      <w:r>
        <w:t xml:space="preserve">The legal system in</w:t>
      </w:r>
      <w:r>
        <w:t xml:space="preserve"> </w:t>
      </w:r>
      <w:r>
        <w:rPr>
          <w:bCs/>
          <w:b/>
        </w:rPr>
        <w:t xml:space="preserve">Thailand Bangkok</w:t>
      </w:r>
      <w:r>
        <w:t xml:space="preserve"> </w:t>
      </w:r>
      <w:r>
        <w:t xml:space="preserve">operates under immense pressure due to the high volume of civil and criminal cases processed annually. The</w:t>
      </w:r>
      <w:r>
        <w:t xml:space="preserve"> </w:t>
      </w:r>
      <w:r>
        <w:rPr>
          <w:bCs/>
          <w:b/>
        </w:rPr>
        <w:t xml:space="preserve">Judge</w:t>
      </w:r>
      <w:r>
        <w:t xml:space="preserve"> </w:t>
      </w:r>
      <w:r>
        <w:t xml:space="preserve">serves as the central pillar of this system, tasked with interpreting complex statutes while managing significant caseloads. This</w:t>
      </w:r>
      <w:r>
        <w:t xml:space="preserve"> </w:t>
      </w:r>
      <w:r>
        <w:rPr>
          <w:bCs/>
          <w:b/>
        </w:rPr>
        <w:t xml:space="preserve">Experiment Protocol</w:t>
      </w:r>
      <w:r>
        <w:t xml:space="preserve"> </w:t>
      </w:r>
      <w:r>
        <w:t xml:space="preserve">is designed to investigate the relationship between cognitive fatigue, environmental factors specific to the Bangkok judicial environment, and the consistency of judicial rulings.</w:t>
      </w:r>
    </w:p>
    <w:p>
      <w:pPr>
        <w:pStyle w:val="BodyText"/>
      </w:pPr>
      <w:r>
        <w:t xml:space="preserve">While judicial independence is paramount, understanding the human factors influencing a</w:t>
      </w:r>
      <w:r>
        <w:t xml:space="preserve"> </w:t>
      </w:r>
      <w:r>
        <w:rPr>
          <w:bCs/>
          <w:b/>
        </w:rPr>
        <w:t xml:space="preserve">Judge</w:t>
      </w:r>
      <w:r>
        <w:t xml:space="preserve"> </w:t>
      </w:r>
      <w:r>
        <w:t xml:space="preserve">is essential for optimizing court efficiency without compromising justice. This study focuses specifically on the metropolitan courts of</w:t>
      </w:r>
      <w:r>
        <w:t xml:space="preserve"> </w:t>
      </w:r>
      <w:r>
        <w:rPr>
          <w:bCs/>
          <w:b/>
        </w:rPr>
        <w:t xml:space="preserve">Thailand Bangkok</w:t>
      </w:r>
      <w:r>
        <w:t xml:space="preserve">, where urban density and procedural complexities create a unique testing ground for judicial psychology.</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quantify the impact of sequential decision-making on the accuracy and speed of rulings issued by a</w:t>
      </w:r>
      <w:r>
        <w:t xml:space="preserve"> </w:t>
      </w:r>
      <w:r>
        <w:rPr>
          <w:bCs/>
          <w:b/>
        </w:rPr>
        <w:t xml:space="preserve">Judge</w:t>
      </w:r>
      <w:r>
        <w:t xml:space="preserve">. Specifically, the study aims to:</w:t>
      </w:r>
    </w:p>
    <w:p>
      <w:pPr>
        <w:numPr>
          <w:ilvl w:val="0"/>
          <w:numId w:val="1001"/>
        </w:numPr>
        <w:pStyle w:val="Compact"/>
      </w:pPr>
      <w:r>
        <w:t xml:space="preserve">Determine if there is a statistically significant decline in the quality of legal reasoning provided by a</w:t>
      </w:r>
      <w:r>
        <w:t xml:space="preserve"> </w:t>
      </w:r>
      <w:r>
        <w:rPr>
          <w:bCs/>
          <w:b/>
        </w:rPr>
        <w:t xml:space="preserve">Judge</w:t>
      </w:r>
      <w:r>
        <w:t xml:space="preserve"> </w:t>
      </w:r>
      <w:r>
        <w:t xml:space="preserve">during late-afternoon sessions in</w:t>
      </w:r>
      <w:r>
        <w:t xml:space="preserve"> </w:t>
      </w:r>
      <w:r>
        <w:rPr>
          <w:bCs/>
          <w:b/>
        </w:rPr>
        <w:t xml:space="preserve">Thailand Bangkok</w:t>
      </w:r>
      <w:r>
        <w:t xml:space="preserve"> </w:t>
      </w:r>
      <w:r>
        <w:t xml:space="preserve">courts.</w:t>
      </w:r>
    </w:p>
    <w:p>
      <w:pPr>
        <w:numPr>
          <w:ilvl w:val="0"/>
          <w:numId w:val="1001"/>
        </w:numPr>
        <w:pStyle w:val="Compact"/>
      </w:pPr>
      <w:r>
        <w:t xml:space="preserve">Analyze the correlation between ambient environmental stressors (e.g., noise levels, temperature control in courtrooms) and the decision-making latency of the</w:t>
      </w:r>
      <w:r>
        <w:t xml:space="preserve"> </w:t>
      </w:r>
      <w:r>
        <w:rPr>
          <w:bCs/>
          <w:b/>
        </w:rPr>
        <w:t xml:space="preserve">Judge</w:t>
      </w:r>
      <w:r>
        <w:t xml:space="preserve">.</w:t>
      </w:r>
    </w:p>
    <w:p>
      <w:pPr>
        <w:numPr>
          <w:ilvl w:val="0"/>
          <w:numId w:val="1001"/>
        </w:numPr>
        <w:pStyle w:val="Compact"/>
      </w:pPr>
      <w:r>
        <w:t xml:space="preserve">Evaluate the efficacy of digital case management tools currently being piloted in</w:t>
      </w:r>
      <w:r>
        <w:t xml:space="preserve"> </w:t>
      </w:r>
      <w:r>
        <w:rPr>
          <w:bCs/>
          <w:b/>
        </w:rPr>
        <w:t xml:space="preserve">Thailand Bangkok</w:t>
      </w:r>
      <w:r>
        <w:t xml:space="preserve"> </w:t>
      </w:r>
      <w:r>
        <w:t xml:space="preserve">on reducing the cognitive load of the</w:t>
      </w:r>
      <w:r>
        <w:t xml:space="preserve"> </w:t>
      </w:r>
      <w:r>
        <w:rPr>
          <w:bCs/>
          <w:b/>
        </w:rPr>
        <w:t xml:space="preserve">Judge</w:t>
      </w:r>
      <w:r>
        <w:t xml:space="preserv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longitudinal observational study combined with controlled simulation. The study will be conducted over a period of six months within selected district courts in</w:t>
      </w:r>
      <w:r>
        <w:t xml:space="preserve"> </w:t>
      </w:r>
      <w:r>
        <w:rPr>
          <w:bCs/>
          <w:b/>
        </w:rPr>
        <w:t xml:space="preserve">Thailand Bangkok</w:t>
      </w:r>
      <w:r>
        <w:t xml:space="preserve">. The design ensures that the dignity and authority of the</w:t>
      </w:r>
      <w:r>
        <w:t xml:space="preserve"> </w:t>
      </w:r>
      <w:r>
        <w:rPr>
          <w:bCs/>
          <w:b/>
        </w:rPr>
        <w:t xml:space="preserve">Judge</w:t>
      </w:r>
      <w:r>
        <w:t xml:space="preserve"> </w:t>
      </w:r>
      <w:r>
        <w:t xml:space="preserve">are maintained throughout the process.</w:t>
      </w:r>
    </w:p>
    <w:bookmarkEnd w:id="22"/>
    <w:bookmarkStart w:id="23" w:name="participants"/>
    <w:p>
      <w:pPr>
        <w:pStyle w:val="Heading3"/>
      </w:pPr>
      <w:r>
        <w:t xml:space="preserve">3.2 Participants</w:t>
      </w:r>
    </w:p>
    <w:p>
      <w:pPr>
        <w:pStyle w:val="FirstParagraph"/>
      </w:pPr>
      <w:r>
        <w:t xml:space="preserve">The subjects of this study are sitting judges within the Bangkok jurisdiction. Participation is voluntary and anonymous. To ensure data integrity, the</w:t>
      </w:r>
      <w:r>
        <w:t xml:space="preserve"> </w:t>
      </w:r>
      <w:r>
        <w:rPr>
          <w:bCs/>
          <w:b/>
        </w:rPr>
        <w:t xml:space="preserve">Judge</w:t>
      </w:r>
      <w:r>
        <w:t xml:space="preserve"> </w:t>
      </w:r>
      <w:r>
        <w:t xml:space="preserve">must have at least five years of experience and handle a minimum of 20 cases per month. The demographic diversity of the</w:t>
      </w:r>
      <w:r>
        <w:t xml:space="preserve"> </w:t>
      </w:r>
      <w:r>
        <w:rPr>
          <w:bCs/>
          <w:b/>
        </w:rPr>
        <w:t xml:space="preserve">Judge</w:t>
      </w:r>
      <w:r>
        <w:t xml:space="preserve"> </w:t>
      </w:r>
      <w:r>
        <w:t xml:space="preserve">participants will reflect the broader judicial population of</w:t>
      </w:r>
      <w:r>
        <w:t xml:space="preserve"> </w:t>
      </w:r>
      <w:r>
        <w:rPr>
          <w:bCs/>
          <w:b/>
        </w:rPr>
        <w:t xml:space="preserve">Thailand Bangkok</w:t>
      </w:r>
      <w:r>
        <w:t xml:space="preserve">.</w:t>
      </w:r>
    </w:p>
    <w:bookmarkEnd w:id="23"/>
    <w:bookmarkStart w:id="24" w:name="procedure"/>
    <w:p>
      <w:pPr>
        <w:pStyle w:val="Heading3"/>
      </w:pPr>
      <w:r>
        <w:t xml:space="preserve">3.3 Procedure</w:t>
      </w:r>
    </w:p>
    <w:p>
      <w:pPr>
        <w:pStyle w:val="FirstParagraph"/>
      </w:pPr>
      <w:r>
        <w:t xml:space="preserve">The experiment is divided into three phases:</w:t>
      </w:r>
    </w:p>
    <w:p>
      <w:pPr>
        <w:numPr>
          <w:ilvl w:val="0"/>
          <w:numId w:val="1002"/>
        </w:numPr>
        <w:pStyle w:val="Compact"/>
      </w:pPr>
      <w:r>
        <w:rPr>
          <w:bCs/>
          <w:b/>
        </w:rPr>
        <w:t xml:space="preserve">Baseline Assessment:</w:t>
      </w:r>
      <w:r>
        <w:t xml:space="preserve"> </w:t>
      </w:r>
      <w:r>
        <w:t xml:space="preserve">Each participating</w:t>
      </w:r>
      <w:r>
        <w:t xml:space="preserve"> </w:t>
      </w:r>
      <w:r>
        <w:rPr>
          <w:bCs/>
          <w:b/>
        </w:rPr>
        <w:t xml:space="preserve">Judge</w:t>
      </w:r>
      <w:r>
        <w:t xml:space="preserve"> </w:t>
      </w:r>
      <w:r>
        <w:t xml:space="preserve">will complete a standardized cognitive assessment battery prior to the start of the experiment. This establishes a baseline for decision-making speed and accuracy.</w:t>
      </w:r>
    </w:p>
    <w:p>
      <w:pPr>
        <w:numPr>
          <w:ilvl w:val="0"/>
          <w:numId w:val="1002"/>
        </w:numPr>
        <w:pStyle w:val="Compact"/>
      </w:pPr>
      <w:r>
        <w:rPr>
          <w:bCs/>
          <w:b/>
        </w:rPr>
        <w:t xml:space="preserve">Observation Phase:</w:t>
      </w:r>
      <w:r>
        <w:t xml:space="preserve"> </w:t>
      </w:r>
      <w:r>
        <w:t xml:space="preserve">Over a period of three months, the rulings of the</w:t>
      </w:r>
      <w:r>
        <w:t xml:space="preserve"> </w:t>
      </w:r>
      <w:r>
        <w:rPr>
          <w:bCs/>
          <w:b/>
        </w:rPr>
        <w:t xml:space="preserve">Judge</w:t>
      </w:r>
      <w:r>
        <w:t xml:space="preserve"> </w:t>
      </w:r>
      <w:r>
        <w:t xml:space="preserve">will be analyzed. Cases will be categorized by complexity. The time of day, duration of the hearing, and environmental conditions in the</w:t>
      </w:r>
      <w:r>
        <w:t xml:space="preserve"> </w:t>
      </w:r>
      <w:r>
        <w:rPr>
          <w:bCs/>
          <w:b/>
        </w:rPr>
        <w:t xml:space="preserve">Thailand Bangkok</w:t>
      </w:r>
      <w:r>
        <w:t xml:space="preserve"> </w:t>
      </w:r>
      <w:r>
        <w:t xml:space="preserve">courtroom will be logged.</w:t>
      </w:r>
    </w:p>
    <w:p>
      <w:pPr>
        <w:numPr>
          <w:ilvl w:val="0"/>
          <w:numId w:val="1002"/>
        </w:numPr>
        <w:pStyle w:val="Compact"/>
      </w:pPr>
      <w:r>
        <w:rPr>
          <w:bCs/>
          <w:b/>
        </w:rPr>
        <w:t xml:space="preserve">Intervention Phase:</w:t>
      </w:r>
      <w:r>
        <w:t xml:space="preserve"> </w:t>
      </w:r>
      <w:r>
        <w:t xml:space="preserve">For the final three months, half of the participating judges will utilize an AI-assisted legal research tool designed for the Thai legal framework. The</w:t>
      </w:r>
      <w:r>
        <w:t xml:space="preserve"> </w:t>
      </w:r>
      <w:r>
        <w:rPr>
          <w:bCs/>
          <w:b/>
        </w:rPr>
        <w:t xml:space="preserve">Judge</w:t>
      </w:r>
      <w:r>
        <w:t xml:space="preserve"> </w:t>
      </w:r>
      <w:r>
        <w:t xml:space="preserve">in the control group will continue with traditional methods. The impact on ruling consistency will be measured.</w:t>
      </w:r>
    </w:p>
    <w:bookmarkEnd w:id="24"/>
    <w:bookmarkEnd w:id="25"/>
    <w:bookmarkStart w:id="26" w:name="data-collection-and-metrics"/>
    <w:p>
      <w:pPr>
        <w:pStyle w:val="Heading2"/>
      </w:pPr>
      <w:r>
        <w:t xml:space="preserve">4. Data Collection and Metrics</w:t>
      </w:r>
    </w:p>
    <w:p>
      <w:pPr>
        <w:pStyle w:val="FirstParagraph"/>
      </w:pPr>
      <w:r>
        <w:t xml:space="preserve">Data collection is the cornerstone of this</w:t>
      </w:r>
      <w:r>
        <w:t xml:space="preserve"> </w:t>
      </w:r>
      <w:r>
        <w:rPr>
          <w:bCs/>
          <w:b/>
        </w:rPr>
        <w:t xml:space="preserve">Experiment Protocol</w:t>
      </w:r>
      <w:r>
        <w:t xml:space="preserve">. We will employ the following metrics to evaluate the performance of the</w:t>
      </w:r>
      <w:r>
        <w:t xml:space="preserve"> </w:t>
      </w:r>
      <w:r>
        <w:rPr>
          <w:bCs/>
          <w:b/>
        </w:rPr>
        <w:t xml:space="preserve">Judge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Thailand Bangkok</w:t>
            </w:r>
          </w:p>
        </w:tc>
      </w:tr>
      <w:tr>
        <w:tc>
          <w:tcPr/>
          <w:p>
            <w:pPr>
              <w:pStyle w:val="Compact"/>
              <w:jc w:val="left"/>
            </w:pPr>
            <w:r>
              <w:t xml:space="preserve">Ruling Latency</w:t>
            </w:r>
          </w:p>
        </w:tc>
        <w:tc>
          <w:tcPr/>
          <w:p>
            <w:pPr>
              <w:pStyle w:val="Compact"/>
              <w:jc w:val="left"/>
            </w:pPr>
            <w:r>
              <w:t xml:space="preserve">Time elapsed between case closure and written judgment.</w:t>
            </w:r>
          </w:p>
        </w:tc>
        <w:tc>
          <w:tcPr/>
          <w:p>
            <w:pPr>
              <w:pStyle w:val="Compact"/>
              <w:jc w:val="left"/>
            </w:pPr>
            <w:r>
              <w:t xml:space="preserve">Addresses backlog issues in Bangkok courts.</w:t>
            </w:r>
          </w:p>
        </w:tc>
      </w:tr>
      <w:tr>
        <w:tc>
          <w:tcPr/>
          <w:p>
            <w:pPr>
              <w:pStyle w:val="Compact"/>
              <w:jc w:val="left"/>
            </w:pPr>
            <w:r>
              <w:t xml:space="preserve">Legal Citation Accuracy</w:t>
            </w:r>
          </w:p>
        </w:tc>
        <w:tc>
          <w:tcPr/>
          <w:p>
            <w:pPr>
              <w:pStyle w:val="Compact"/>
              <w:jc w:val="left"/>
            </w:pPr>
            <w:r>
              <w:t xml:space="preserve">Percentage of correct statutory references in the judgment.</w:t>
            </w:r>
          </w:p>
        </w:tc>
        <w:tc>
          <w:tcPr/>
          <w:p>
            <w:pPr>
              <w:pStyle w:val="Compact"/>
              <w:jc w:val="left"/>
            </w:pPr>
            <w:r>
              <w:t xml:space="preserve">Ensures the Judge adheres to Thai Civil and Criminal Codes.</w:t>
            </w:r>
          </w:p>
        </w:tc>
      </w:tr>
      <w:tr>
        <w:tc>
          <w:tcPr/>
          <w:p>
            <w:pPr>
              <w:pStyle w:val="Compact"/>
              <w:jc w:val="left"/>
            </w:pPr>
            <w:r>
              <w:t xml:space="preserve">Cognitive Fatigue Index</w:t>
            </w:r>
          </w:p>
        </w:tc>
        <w:tc>
          <w:tcPr/>
          <w:p>
            <w:pPr>
              <w:pStyle w:val="Compact"/>
              <w:jc w:val="left"/>
            </w:pPr>
            <w:r>
              <w:t xml:space="preserve">Self-reported fatigue levels and physiological markers.</w:t>
            </w:r>
          </w:p>
        </w:tc>
        <w:tc>
          <w:tcPr/>
          <w:p>
            <w:pPr>
              <w:pStyle w:val="Compact"/>
              <w:jc w:val="left"/>
            </w:pPr>
            <w:r>
              <w:t xml:space="preserve">Accounts for the high-stress environment of Bangkok.</w:t>
            </w:r>
          </w:p>
        </w:tc>
      </w:tr>
    </w:tbl>
    <w:bookmarkEnd w:id="26"/>
    <w:bookmarkStart w:id="27" w:name="ethical-considerations"/>
    <w:p>
      <w:pPr>
        <w:pStyle w:val="Heading2"/>
      </w:pPr>
      <w:r>
        <w:t xml:space="preserve">5. Ethical Considerations</w:t>
      </w:r>
    </w:p>
    <w:p>
      <w:pPr>
        <w:pStyle w:val="FirstParagraph"/>
      </w:pPr>
      <w:r>
        <w:t xml:space="preserve">Given the sensitive nature of the judiciary in</w:t>
      </w:r>
      <w:r>
        <w:t xml:space="preserve"> </w:t>
      </w:r>
      <w:r>
        <w:rPr>
          <w:bCs/>
          <w:b/>
        </w:rPr>
        <w:t xml:space="preserve">Thailand Bangkok</w:t>
      </w:r>
      <w:r>
        <w:t xml:space="preserve">, this</w:t>
      </w:r>
      <w:r>
        <w:t xml:space="preserve"> </w:t>
      </w:r>
      <w:r>
        <w:rPr>
          <w:bCs/>
          <w:b/>
        </w:rPr>
        <w:t xml:space="preserve">Experiment Protocol</w:t>
      </w:r>
      <w:r>
        <w:t xml:space="preserve"> </w:t>
      </w:r>
      <w:r>
        <w:t xml:space="preserve">adheres to strict ethical guidelines. The anonymity of the</w:t>
      </w:r>
      <w:r>
        <w:t xml:space="preserve"> </w:t>
      </w:r>
      <w:r>
        <w:rPr>
          <w:bCs/>
          <w:b/>
        </w:rPr>
        <w:t xml:space="preserve">Judge</w:t>
      </w:r>
      <w:r>
        <w:t xml:space="preserve"> </w:t>
      </w:r>
      <w:r>
        <w:t xml:space="preserve">is guaranteed; no individual data will be linked to a specific name in the final report. Furthermore, the study has been reviewed by the Ethics Committee of the Supreme Court of Thailand.</w:t>
      </w:r>
    </w:p>
    <w:p>
      <w:pPr>
        <w:pStyle w:val="BodyText"/>
      </w:pPr>
      <w:r>
        <w:t xml:space="preserve">It is crucial to note that this experiment does not interfere with the actual administration of justice. The</w:t>
      </w:r>
      <w:r>
        <w:t xml:space="preserve"> </w:t>
      </w:r>
      <w:r>
        <w:rPr>
          <w:bCs/>
          <w:b/>
        </w:rPr>
        <w:t xml:space="preserve">Judge</w:t>
      </w:r>
      <w:r>
        <w:t xml:space="preserve"> </w:t>
      </w:r>
      <w:r>
        <w:t xml:space="preserve">retains full autonomy over all rulings. The data collected is purely for academic and systemic improvement purposes. Informed consent will be obtained from every</w:t>
      </w:r>
      <w:r>
        <w:t xml:space="preserve"> </w:t>
      </w:r>
      <w:r>
        <w:rPr>
          <w:bCs/>
          <w:b/>
        </w:rPr>
        <w:t xml:space="preserve">Judge</w:t>
      </w:r>
      <w:r>
        <w:t xml:space="preserve"> </w:t>
      </w:r>
      <w:r>
        <w:t xml:space="preserve">participating in the study, ensuring they understand the scope of the</w:t>
      </w:r>
      <w:r>
        <w:t xml:space="preserve"> </w:t>
      </w:r>
      <w:r>
        <w:rPr>
          <w:bCs/>
          <w:b/>
        </w:rPr>
        <w:t xml:space="preserve">Experiment Protocol</w:t>
      </w:r>
      <w:r>
        <w:t xml:space="preserve">.</w:t>
      </w:r>
    </w:p>
    <w:bookmarkEnd w:id="27"/>
    <w:bookmarkStart w:id="28" w:name="risk-management"/>
    <w:p>
      <w:pPr>
        <w:pStyle w:val="Heading2"/>
      </w:pPr>
      <w:r>
        <w:t xml:space="preserve">6. Risk Management</w:t>
      </w:r>
    </w:p>
    <w:p>
      <w:pPr>
        <w:pStyle w:val="FirstParagraph"/>
      </w:pPr>
      <w:r>
        <w:t xml:space="preserve">Potential risks include the perception of surveillance among the judiciary. To mitigate this, the research team will maintain open communication channels with the</w:t>
      </w:r>
      <w:r>
        <w:t xml:space="preserve"> </w:t>
      </w:r>
      <w:r>
        <w:rPr>
          <w:bCs/>
          <w:b/>
        </w:rPr>
        <w:t xml:space="preserve">Judge</w:t>
      </w:r>
      <w:r>
        <w:t xml:space="preserve"> </w:t>
      </w:r>
      <w:r>
        <w:t xml:space="preserve">participants. Additionally, data security is paramount. All records regarding the</w:t>
      </w:r>
      <w:r>
        <w:t xml:space="preserve"> </w:t>
      </w:r>
      <w:r>
        <w:rPr>
          <w:bCs/>
          <w:b/>
        </w:rPr>
        <w:t xml:space="preserve">Judge</w:t>
      </w:r>
      <w:r>
        <w:t xml:space="preserve"> </w:t>
      </w:r>
      <w:r>
        <w:t xml:space="preserve">and case files from</w:t>
      </w:r>
      <w:r>
        <w:t xml:space="preserve"> </w:t>
      </w:r>
      <w:r>
        <w:rPr>
          <w:bCs/>
          <w:b/>
        </w:rPr>
        <w:t xml:space="preserve">Thailand Bangkok</w:t>
      </w:r>
      <w:r>
        <w:t xml:space="preserve"> </w:t>
      </w:r>
      <w:r>
        <w:t xml:space="preserve">will be encrypted and stored on secure servers located within Thailand, complying with the Personal Data Protection Act (PDPA).</w:t>
      </w:r>
    </w:p>
    <w:bookmarkEnd w:id="28"/>
    <w:bookmarkStart w:id="29" w:name="expected-outcomes-and-impact"/>
    <w:p>
      <w:pPr>
        <w:pStyle w:val="Heading2"/>
      </w:pPr>
      <w:r>
        <w:t xml:space="preserve">7. Expected Outcomes and Impact</w:t>
      </w:r>
    </w:p>
    <w:p>
      <w:pPr>
        <w:pStyle w:val="FirstParagraph"/>
      </w:pPr>
      <w:r>
        <w:t xml:space="preserve">This</w:t>
      </w:r>
      <w:r>
        <w:t xml:space="preserve"> </w:t>
      </w:r>
      <w:r>
        <w:rPr>
          <w:bCs/>
          <w:b/>
        </w:rPr>
        <w:t xml:space="preserve">Experiment Protocol</w:t>
      </w:r>
      <w:r>
        <w:t xml:space="preserve"> </w:t>
      </w:r>
      <w:r>
        <w:t xml:space="preserve">anticipates revealing critical insights into the workflow of the</w:t>
      </w:r>
      <w:r>
        <w:t xml:space="preserve"> </w:t>
      </w:r>
      <w:r>
        <w:rPr>
          <w:bCs/>
          <w:b/>
        </w:rPr>
        <w:t xml:space="preserve">Judge</w:t>
      </w:r>
      <w:r>
        <w:t xml:space="preserve"> </w:t>
      </w:r>
      <w:r>
        <w:t xml:space="preserve">in</w:t>
      </w:r>
      <w:r>
        <w:t xml:space="preserve"> </w:t>
      </w:r>
      <w:r>
        <w:rPr>
          <w:bCs/>
          <w:b/>
        </w:rPr>
        <w:t xml:space="preserve">Thailand Bangkok</w:t>
      </w:r>
      <w:r>
        <w:t xml:space="preserve">. We expect to identify specific times of day or case types where the risk of error increases. By understanding these patterns, the Supreme Court can implement structural changes, such as optimized scheduling or enhanced support systems, to assist the</w:t>
      </w:r>
      <w:r>
        <w:t xml:space="preserve"> </w:t>
      </w:r>
      <w:r>
        <w:rPr>
          <w:bCs/>
          <w:b/>
        </w:rPr>
        <w:t xml:space="preserve">Judge</w:t>
      </w:r>
      <w:r>
        <w:t xml:space="preserve">.</w:t>
      </w:r>
    </w:p>
    <w:p>
      <w:pPr>
        <w:pStyle w:val="BodyText"/>
      </w:pPr>
      <w:r>
        <w:t xml:space="preserve">Ultimately, the goal is to enhance the efficiency and reliability of the legal system in</w:t>
      </w:r>
      <w:r>
        <w:t xml:space="preserve"> </w:t>
      </w:r>
      <w:r>
        <w:rPr>
          <w:bCs/>
          <w:b/>
        </w:rPr>
        <w:t xml:space="preserve">Thailand Bangkok</w:t>
      </w:r>
      <w:r>
        <w:t xml:space="preserve">. By supporting the</w:t>
      </w:r>
      <w:r>
        <w:t xml:space="preserve"> </w:t>
      </w:r>
      <w:r>
        <w:rPr>
          <w:bCs/>
          <w:b/>
        </w:rPr>
        <w:t xml:space="preserve">Judge</w:t>
      </w:r>
      <w:r>
        <w:t xml:space="preserve"> </w:t>
      </w:r>
      <w:r>
        <w:t xml:space="preserve">with evidence-based improvements, we contribute to a more robust and fair judicial environment for all citizens. This study represents a significant step forward in the scientific understanding of judicial processes within the Thai context.</w:t>
      </w:r>
    </w:p>
    <w:bookmarkEnd w:id="29"/>
    <w:bookmarkStart w:id="30" w:name="conclusion"/>
    <w:p>
      <w:pPr>
        <w:pStyle w:val="Heading2"/>
      </w:pPr>
      <w:r>
        <w:t xml:space="preserve">8. Conclusion</w:t>
      </w:r>
    </w:p>
    <w:p>
      <w:pPr>
        <w:pStyle w:val="FirstParagraph"/>
      </w:pPr>
      <w:r>
        <w:t xml:space="preserve">This document outlines a comprehensive</w:t>
      </w:r>
      <w:r>
        <w:t xml:space="preserve"> </w:t>
      </w:r>
      <w:r>
        <w:rPr>
          <w:bCs/>
          <w:b/>
        </w:rPr>
        <w:t xml:space="preserve">Experiment Protocol</w:t>
      </w:r>
      <w:r>
        <w:t xml:space="preserve"> </w:t>
      </w:r>
      <w:r>
        <w:t xml:space="preserve">focused on the</w:t>
      </w:r>
      <w:r>
        <w:t xml:space="preserve"> </w:t>
      </w:r>
      <w:r>
        <w:rPr>
          <w:bCs/>
          <w:b/>
        </w:rPr>
        <w:t xml:space="preserve">Judge</w:t>
      </w:r>
      <w:r>
        <w:t xml:space="preserve"> </w:t>
      </w:r>
      <w:r>
        <w:t xml:space="preserve">within the unique legal landscape of</w:t>
      </w:r>
      <w:r>
        <w:t xml:space="preserve"> </w:t>
      </w:r>
      <w:r>
        <w:rPr>
          <w:bCs/>
          <w:b/>
        </w:rPr>
        <w:t xml:space="preserve">Thailand Bangkok</w:t>
      </w:r>
      <w:r>
        <w:t xml:space="preserve">. By rigorously applying scientific methods to the study of judicial decision-making, we aim to provide actionable data that respects the integrity of the court while promoting systemic excellence. The successful execution of this protocol will serve as a model for future judicial research in Southeast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Thailand Bangkok</dc:title>
  <dc:creator/>
  <dc:language>en</dc:language>
  <cp:keywords/>
  <dcterms:created xsi:type="dcterms:W3CDTF">2026-10-10T01:10:26Z</dcterms:created>
  <dcterms:modified xsi:type="dcterms:W3CDTF">2026-10-10T01:10:26Z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