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in</w:t>
      </w:r>
      <w:r>
        <w:t xml:space="preserve"> </w:t>
      </w:r>
      <w:r>
        <w:t xml:space="preserve">Turkey</w:t>
      </w:r>
      <w:r>
        <w:t xml:space="preserve"> </w:t>
      </w:r>
      <w:r>
        <w:t xml:space="preserve">Istanbul</w:t>
      </w:r>
    </w:p>
    <w:bookmarkStart w:id="32" w:name="X409e039ae94bf343dc06abf3e4104b29d848eb3"/>
    <w:p>
      <w:pPr>
        <w:pStyle w:val="Heading1"/>
      </w:pPr>
      <w:r>
        <w:t xml:space="preserve">Experiment Protocol: Cognitive Load and Decision-Making Efficiency of the Judge in Turkey Istanbul</w:t>
      </w:r>
    </w:p>
    <w:p>
      <w:pPr>
        <w:pStyle w:val="FirstParagraph"/>
      </w:pPr>
      <w:r>
        <w:rPr>
          <w:bCs/>
          <w:b/>
        </w:rPr>
        <w:t xml:space="preserve">Protocol ID:</w:t>
      </w:r>
      <w:r>
        <w:t xml:space="preserve"> </w:t>
      </w:r>
      <w:r>
        <w:t xml:space="preserve">IST-JUD-2024-EXP-001</w:t>
      </w:r>
    </w:p>
    <w:p>
      <w:pPr>
        <w:pStyle w:val="BodyText"/>
      </w:pPr>
      <w:r>
        <w:rPr>
          <w:bCs/>
          <w:b/>
        </w:rPr>
        <w:t xml:space="preserve">Location:</w:t>
      </w:r>
      <w:r>
        <w:t xml:space="preserve"> </w:t>
      </w:r>
      <w:r>
        <w:t xml:space="preserve">Istanbul Metropolitan Area, Turkey</w:t>
      </w:r>
    </w:p>
    <w:p>
      <w:pPr>
        <w:pStyle w:val="BodyText"/>
      </w:pPr>
      <w:r>
        <w:rPr>
          <w:bCs/>
          <w:b/>
        </w:rPr>
        <w:t xml:space="preserve">Target Subject:</w:t>
      </w:r>
      <w:r>
        <w:t xml:space="preserve"> </w:t>
      </w:r>
      <w:r>
        <w:t xml:space="preserve">The Judge (Judicial Officer)</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bookmarkStart w:id="20" w:name="introduction-and-background"/>
    <w:p>
      <w:pPr>
        <w:pStyle w:val="Heading2"/>
      </w:pPr>
      <w:r>
        <w:t xml:space="preserve">1. Introduction and Background</w:t>
      </w:r>
    </w:p>
    <w:p>
      <w:pPr>
        <w:pStyle w:val="FirstParagraph"/>
      </w:pPr>
      <w:r>
        <w:t xml:space="preserve">The judicial system in Turkey is currently undergoing significant modernization efforts. As the economic and cultural heart of the nation,</w:t>
      </w:r>
      <w:r>
        <w:t xml:space="preserve"> </w:t>
      </w:r>
      <w:r>
        <w:rPr>
          <w:bCs/>
          <w:b/>
        </w:rPr>
        <w:t xml:space="preserve">Turkey Istanbul</w:t>
      </w:r>
      <w:r>
        <w:t xml:space="preserve"> </w:t>
      </w:r>
      <w:r>
        <w:t xml:space="preserve">hosts a disproportionately high volume of legal cases compared to other regions. This concentration creates a unique environment for studying the cognitive and procedural challenges faced by the</w:t>
      </w:r>
      <w:r>
        <w:t xml:space="preserve"> </w:t>
      </w:r>
      <w:r>
        <w:rPr>
          <w:bCs/>
          <w:b/>
        </w:rPr>
        <w:t xml:space="preserve">Judge</w:t>
      </w:r>
      <w:r>
        <w:t xml:space="preserve">. The primary objective of this</w:t>
      </w:r>
      <w:r>
        <w:t xml:space="preserve"> </w:t>
      </w:r>
      <w:r>
        <w:rPr>
          <w:bCs/>
          <w:b/>
        </w:rPr>
        <w:t xml:space="preserve">Experiment Protocol</w:t>
      </w:r>
      <w:r>
        <w:t xml:space="preserve"> </w:t>
      </w:r>
      <w:r>
        <w:t xml:space="preserve">is to evaluate the impact of digital case management tools on the decision-making speed and accuracy of the</w:t>
      </w:r>
      <w:r>
        <w:t xml:space="preserve"> </w:t>
      </w:r>
      <w:r>
        <w:rPr>
          <w:bCs/>
          <w:b/>
        </w:rPr>
        <w:t xml:space="preserve">Judge</w:t>
      </w:r>
      <w:r>
        <w:t xml:space="preserve"> </w:t>
      </w:r>
      <w:r>
        <w:t xml:space="preserve">within the bustling legal landscape of</w:t>
      </w:r>
      <w:r>
        <w:t xml:space="preserve"> </w:t>
      </w:r>
      <w:r>
        <w:rPr>
          <w:bCs/>
          <w:b/>
        </w:rPr>
        <w:t xml:space="preserve">Turkey Istanbul</w:t>
      </w:r>
      <w:r>
        <w:t xml:space="preserve">.</w:t>
      </w:r>
    </w:p>
    <w:p>
      <w:pPr>
        <w:pStyle w:val="BodyText"/>
      </w:pPr>
      <w:r>
        <w:t xml:space="preserve">In the context of</w:t>
      </w:r>
      <w:r>
        <w:t xml:space="preserve"> </w:t>
      </w:r>
      <w:r>
        <w:rPr>
          <w:bCs/>
          <w:b/>
        </w:rPr>
        <w:t xml:space="preserve">Turkey Istanbul</w:t>
      </w:r>
      <w:r>
        <w:t xml:space="preserve">, the</w:t>
      </w:r>
      <w:r>
        <w:t xml:space="preserve"> </w:t>
      </w:r>
      <w:r>
        <w:rPr>
          <w:bCs/>
          <w:b/>
        </w:rPr>
        <w:t xml:space="preserve">Judge</w:t>
      </w:r>
      <w:r>
        <w:t xml:space="preserve"> </w:t>
      </w:r>
      <w:r>
        <w:t xml:space="preserve">often manages a docket that exceeds the national average. This experiment aims to determine if specific algorithmic assistance tools can reduce cognitive load without compromising the judicial independence or the quality of the verdict. This</w:t>
      </w:r>
      <w:r>
        <w:t xml:space="preserve"> </w:t>
      </w:r>
      <w:r>
        <w:rPr>
          <w:bCs/>
          <w:b/>
        </w:rPr>
        <w:t xml:space="preserve">Experiment Protocol</w:t>
      </w:r>
      <w:r>
        <w:t xml:space="preserve"> </w:t>
      </w:r>
      <w:r>
        <w:t xml:space="preserve">is designed to be rigorous, ethical, and culturally sensitive to the Turkish legal framework.</w:t>
      </w:r>
    </w:p>
    <w:bookmarkEnd w:id="20"/>
    <w:bookmarkStart w:id="21" w:name="objectives"/>
    <w:p>
      <w:pPr>
        <w:pStyle w:val="Heading2"/>
      </w:pPr>
      <w:r>
        <w:t xml:space="preserve">2. Objectives</w:t>
      </w:r>
    </w:p>
    <w:p>
      <w:pPr>
        <w:pStyle w:val="FirstParagraph"/>
      </w:pPr>
      <w:r>
        <w:t xml:space="preserve">The specific goals of this</w:t>
      </w:r>
      <w:r>
        <w:t xml:space="preserve"> </w:t>
      </w:r>
      <w:r>
        <w:rPr>
          <w:bCs/>
          <w:b/>
        </w:rPr>
        <w:t xml:space="preserve">Experiment Protocol</w:t>
      </w:r>
      <w:r>
        <w:t xml:space="preserve"> </w:t>
      </w:r>
      <w:r>
        <w:t xml:space="preserve">are as follows:</w:t>
      </w:r>
    </w:p>
    <w:p>
      <w:pPr>
        <w:numPr>
          <w:ilvl w:val="0"/>
          <w:numId w:val="1001"/>
        </w:numPr>
        <w:pStyle w:val="Compact"/>
      </w:pPr>
      <w:r>
        <w:t xml:space="preserve">To measure the time efficiency of the</w:t>
      </w:r>
      <w:r>
        <w:t xml:space="preserve"> </w:t>
      </w:r>
      <w:r>
        <w:rPr>
          <w:bCs/>
          <w:b/>
        </w:rPr>
        <w:t xml:space="preserve">Judge</w:t>
      </w:r>
      <w:r>
        <w:t xml:space="preserve"> </w:t>
      </w:r>
      <w:r>
        <w:t xml:space="preserve">in</w:t>
      </w:r>
      <w:r>
        <w:t xml:space="preserve"> </w:t>
      </w:r>
      <w:r>
        <w:rPr>
          <w:bCs/>
          <w:b/>
        </w:rPr>
        <w:t xml:space="preserve">Turkey Istanbul</w:t>
      </w:r>
      <w:r>
        <w:t xml:space="preserve"> </w:t>
      </w:r>
      <w:r>
        <w:t xml:space="preserve">when utilizing a new AI-assisted document review system versus traditional methods.</w:t>
      </w:r>
    </w:p>
    <w:p>
      <w:pPr>
        <w:numPr>
          <w:ilvl w:val="0"/>
          <w:numId w:val="1001"/>
        </w:numPr>
        <w:pStyle w:val="Compact"/>
      </w:pPr>
      <w:r>
        <w:t xml:space="preserve">To assess the accuracy of legal citations provided by the</w:t>
      </w:r>
      <w:r>
        <w:t xml:space="preserve"> </w:t>
      </w:r>
      <w:r>
        <w:rPr>
          <w:bCs/>
          <w:b/>
        </w:rPr>
        <w:t xml:space="preserve">Judge</w:t>
      </w:r>
      <w:r>
        <w:t xml:space="preserve"> </w:t>
      </w:r>
      <w:r>
        <w:t xml:space="preserve">under high-volume caseload conditions typical of</w:t>
      </w:r>
      <w:r>
        <w:t xml:space="preserve"> </w:t>
      </w:r>
      <w:r>
        <w:rPr>
          <w:bCs/>
          <w:b/>
        </w:rPr>
        <w:t xml:space="preserve">Turkey Istanbul</w:t>
      </w:r>
      <w:r>
        <w:t xml:space="preserve">.</w:t>
      </w:r>
    </w:p>
    <w:p>
      <w:pPr>
        <w:numPr>
          <w:ilvl w:val="0"/>
          <w:numId w:val="1001"/>
        </w:numPr>
        <w:pStyle w:val="Compact"/>
      </w:pPr>
      <w:r>
        <w:t xml:space="preserve">To evaluate the subjective stress levels and cognitive fatigue of the</w:t>
      </w:r>
      <w:r>
        <w:t xml:space="preserve"> </w:t>
      </w:r>
      <w:r>
        <w:rPr>
          <w:bCs/>
          <w:b/>
        </w:rPr>
        <w:t xml:space="preserve">Judge</w:t>
      </w:r>
      <w:r>
        <w:t xml:space="preserve"> </w:t>
      </w:r>
      <w:r>
        <w:t xml:space="preserve">during the trial period.</w:t>
      </w:r>
    </w:p>
    <w:p>
      <w:pPr>
        <w:numPr>
          <w:ilvl w:val="0"/>
          <w:numId w:val="1001"/>
        </w:numPr>
        <w:pStyle w:val="Compact"/>
      </w:pPr>
      <w:r>
        <w:t xml:space="preserve">To ensure that the implementation of this</w:t>
      </w:r>
      <w:r>
        <w:t xml:space="preserve"> </w:t>
      </w:r>
      <w:r>
        <w:rPr>
          <w:bCs/>
          <w:b/>
        </w:rPr>
        <w:t xml:space="preserve">Experiment Protocol</w:t>
      </w:r>
      <w:r>
        <w:t xml:space="preserve"> </w:t>
      </w:r>
      <w:r>
        <w:t xml:space="preserve">aligns with the Turkish Constitution and the Code of Criminal Procedure.</w:t>
      </w:r>
    </w:p>
    <w:bookmarkEnd w:id="21"/>
    <w:bookmarkStart w:id="24"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randomized controlled trial (RCT) design. The study will be conducted over a period of six months. The participants will be selected from civil courts located in the Beyoğlu and Kadıköy districts of</w:t>
      </w:r>
      <w:r>
        <w:t xml:space="preserve"> </w:t>
      </w:r>
      <w:r>
        <w:rPr>
          <w:bCs/>
          <w:b/>
        </w:rPr>
        <w:t xml:space="preserve">Turkey Istanbul</w:t>
      </w:r>
      <w:r>
        <w:t xml:space="preserve">, chosen for their high case density.</w:t>
      </w:r>
    </w:p>
    <w:p>
      <w:pPr>
        <w:pStyle w:val="BodyText"/>
      </w:pPr>
      <w:r>
        <w:t xml:space="preserve">The</w:t>
      </w:r>
      <w:r>
        <w:t xml:space="preserve"> </w:t>
      </w:r>
      <w:r>
        <w:rPr>
          <w:bCs/>
          <w:b/>
        </w:rPr>
        <w:t xml:space="preserve">Judge</w:t>
      </w:r>
      <w:r>
        <w:t xml:space="preserve"> </w:t>
      </w:r>
      <w:r>
        <w:t xml:space="preserve">participants will be divided into two groups:</w:t>
      </w:r>
    </w:p>
    <w:p>
      <w:pPr>
        <w:numPr>
          <w:ilvl w:val="0"/>
          <w:numId w:val="1002"/>
        </w:numPr>
        <w:pStyle w:val="Compact"/>
      </w:pPr>
      <w:r>
        <w:rPr>
          <w:bCs/>
          <w:b/>
        </w:rPr>
        <w:t xml:space="preserve">Control Group:</w:t>
      </w:r>
      <w:r>
        <w:t xml:space="preserve"> </w:t>
      </w:r>
      <w:r>
        <w:t xml:space="preserve">Judges in</w:t>
      </w:r>
      <w:r>
        <w:t xml:space="preserve"> </w:t>
      </w:r>
      <w:r>
        <w:rPr>
          <w:bCs/>
          <w:b/>
        </w:rPr>
        <w:t xml:space="preserve">Turkey Istanbul</w:t>
      </w:r>
      <w:r>
        <w:t xml:space="preserve"> </w:t>
      </w:r>
      <w:r>
        <w:t xml:space="preserve">who continue to use the standard e-Devlet and e-Savunma systems without additional algorithmic assistance.</w:t>
      </w:r>
    </w:p>
    <w:p>
      <w:pPr>
        <w:numPr>
          <w:ilvl w:val="0"/>
          <w:numId w:val="1002"/>
        </w:numPr>
        <w:pStyle w:val="Compact"/>
      </w:pPr>
      <w:r>
        <w:rPr>
          <w:bCs/>
          <w:b/>
        </w:rPr>
        <w:t xml:space="preserve">Experimental Group:</w:t>
      </w:r>
      <w:r>
        <w:t xml:space="preserve"> </w:t>
      </w:r>
      <w:r>
        <w:t xml:space="preserve">Judges in</w:t>
      </w:r>
      <w:r>
        <w:t xml:space="preserve"> </w:t>
      </w:r>
      <w:r>
        <w:rPr>
          <w:bCs/>
          <w:b/>
        </w:rPr>
        <w:t xml:space="preserve">Turkey Istanbul</w:t>
      </w:r>
      <w:r>
        <w:t xml:space="preserve"> </w:t>
      </w:r>
      <w:r>
        <w:t xml:space="preserve">who are provided with a prototype "Decision Support Interface" designed to summarize evidence and highlight relevant precedents.</w:t>
      </w:r>
    </w:p>
    <w:bookmarkEnd w:id="22"/>
    <w:bookmarkStart w:id="23" w:name="participant-selection"/>
    <w:p>
      <w:pPr>
        <w:pStyle w:val="Heading3"/>
      </w:pPr>
      <w:r>
        <w:t xml:space="preserve">3.2 Participant Selection</w:t>
      </w:r>
    </w:p>
    <w:p>
      <w:pPr>
        <w:pStyle w:val="FirstParagraph"/>
      </w:pPr>
      <w:r>
        <w:t xml:space="preserve">Eligibility for the</w:t>
      </w:r>
      <w:r>
        <w:t xml:space="preserve"> </w:t>
      </w:r>
      <w:r>
        <w:rPr>
          <w:bCs/>
          <w:b/>
        </w:rPr>
        <w:t xml:space="preserve">Judge</w:t>
      </w:r>
      <w:r>
        <w:t xml:space="preserve"> </w:t>
      </w:r>
      <w:r>
        <w:t xml:space="preserve">to participate in this</w:t>
      </w:r>
      <w:r>
        <w:t xml:space="preserve"> </w:t>
      </w:r>
      <w:r>
        <w:rPr>
          <w:bCs/>
          <w:b/>
        </w:rPr>
        <w:t xml:space="preserve">Experiment Protocol</w:t>
      </w:r>
      <w:r>
        <w:t xml:space="preserve"> </w:t>
      </w:r>
      <w:r>
        <w:t xml:space="preserve">requires:</w:t>
      </w:r>
    </w:p>
    <w:p>
      <w:pPr>
        <w:numPr>
          <w:ilvl w:val="0"/>
          <w:numId w:val="1003"/>
        </w:numPr>
        <w:pStyle w:val="Compact"/>
      </w:pPr>
      <w:r>
        <w:t xml:space="preserve">Active service in a civil court in</w:t>
      </w:r>
      <w:r>
        <w:t xml:space="preserve"> </w:t>
      </w:r>
      <w:r>
        <w:rPr>
          <w:bCs/>
          <w:b/>
        </w:rPr>
        <w:t xml:space="preserve">Turkey Istanbul</w:t>
      </w:r>
      <w:r>
        <w:t xml:space="preserve">.</w:t>
      </w:r>
    </w:p>
    <w:p>
      <w:pPr>
        <w:numPr>
          <w:ilvl w:val="0"/>
          <w:numId w:val="1003"/>
        </w:numPr>
        <w:pStyle w:val="Compact"/>
      </w:pPr>
      <w:r>
        <w:t xml:space="preserve">Minimum of five years of judicial experience.</w:t>
      </w:r>
    </w:p>
    <w:p>
      <w:pPr>
        <w:numPr>
          <w:ilvl w:val="0"/>
          <w:numId w:val="1003"/>
        </w:numPr>
        <w:pStyle w:val="Compact"/>
      </w:pPr>
      <w:r>
        <w:t xml:space="preserve">Proficiency in Turkish and English (for reporting purposes).</w:t>
      </w:r>
    </w:p>
    <w:p>
      <w:pPr>
        <w:numPr>
          <w:ilvl w:val="0"/>
          <w:numId w:val="1003"/>
        </w:numPr>
        <w:pStyle w:val="Compact"/>
      </w:pPr>
      <w:r>
        <w:t xml:space="preserve">Voluntary consent to participate in the</w:t>
      </w:r>
      <w:r>
        <w:t xml:space="preserve"> </w:t>
      </w:r>
      <w:r>
        <w:rPr>
          <w:bCs/>
          <w:b/>
        </w:rPr>
        <w:t xml:space="preserve">Experiment Protocol</w:t>
      </w:r>
      <w:r>
        <w:t xml:space="preserve">.</w:t>
      </w:r>
    </w:p>
    <w:bookmarkEnd w:id="23"/>
    <w:bookmarkEnd w:id="24"/>
    <w:bookmarkStart w:id="28" w:name="procedure"/>
    <w:p>
      <w:pPr>
        <w:pStyle w:val="Heading2"/>
      </w:pPr>
      <w:r>
        <w:t xml:space="preserve">4. Procedure</w:t>
      </w:r>
    </w:p>
    <w:bookmarkStart w:id="25" w:name="phase-1-calibration"/>
    <w:p>
      <w:pPr>
        <w:pStyle w:val="Heading3"/>
      </w:pPr>
      <w:r>
        <w:t xml:space="preserve">4.1 Phase 1: Calibration</w:t>
      </w:r>
    </w:p>
    <w:p>
      <w:pPr>
        <w:pStyle w:val="FirstParagraph"/>
      </w:pPr>
      <w:r>
        <w:t xml:space="preserve">Before the active phase of the</w:t>
      </w:r>
      <w:r>
        <w:t xml:space="preserve"> </w:t>
      </w:r>
      <w:r>
        <w:rPr>
          <w:bCs/>
          <w:b/>
        </w:rPr>
        <w:t xml:space="preserve">Experiment Protocol</w:t>
      </w:r>
      <w:r>
        <w:t xml:space="preserve">, a baseline assessment will be conducted. Each</w:t>
      </w:r>
      <w:r>
        <w:t xml:space="preserve"> </w:t>
      </w:r>
      <w:r>
        <w:rPr>
          <w:bCs/>
          <w:b/>
        </w:rPr>
        <w:t xml:space="preserve">Judge</w:t>
      </w:r>
      <w:r>
        <w:t xml:space="preserve"> </w:t>
      </w:r>
      <w:r>
        <w:t xml:space="preserve">in</w:t>
      </w:r>
      <w:r>
        <w:t xml:space="preserve"> </w:t>
      </w:r>
      <w:r>
        <w:rPr>
          <w:bCs/>
          <w:b/>
        </w:rPr>
        <w:t xml:space="preserve">Turkey Istanbul</w:t>
      </w:r>
      <w:r>
        <w:t xml:space="preserve"> </w:t>
      </w:r>
      <w:r>
        <w:t xml:space="preserve">will be asked to review a standardized set of mock cases. This ensures that the baseline performance metrics are established before the introduction of the experimental variables.</w:t>
      </w:r>
    </w:p>
    <w:bookmarkEnd w:id="25"/>
    <w:bookmarkStart w:id="26" w:name="phase-2-intervention"/>
    <w:p>
      <w:pPr>
        <w:pStyle w:val="Heading3"/>
      </w:pPr>
      <w:r>
        <w:t xml:space="preserve">4.2 Phase 2: Intervention</w:t>
      </w:r>
    </w:p>
    <w:p>
      <w:pPr>
        <w:pStyle w:val="FirstParagraph"/>
      </w:pPr>
      <w:r>
        <w:t xml:space="preserve">During this phase, the</w:t>
      </w:r>
      <w:r>
        <w:t xml:space="preserve"> </w:t>
      </w:r>
      <w:r>
        <w:rPr>
          <w:bCs/>
          <w:b/>
        </w:rPr>
        <w:t xml:space="preserve">Judge</w:t>
      </w:r>
      <w:r>
        <w:t xml:space="preserve"> </w:t>
      </w:r>
      <w:r>
        <w:t xml:space="preserve">in the experimental group will utilize the new interface. The</w:t>
      </w:r>
      <w:r>
        <w:t xml:space="preserve"> </w:t>
      </w:r>
      <w:r>
        <w:rPr>
          <w:bCs/>
          <w:b/>
        </w:rPr>
        <w:t xml:space="preserve">Experiment Protocol</w:t>
      </w:r>
      <w:r>
        <w:t xml:space="preserve"> </w:t>
      </w:r>
      <w:r>
        <w:t xml:space="preserve">dictates that the tool must remain advisory; the final decision must always rest solely with the</w:t>
      </w:r>
      <w:r>
        <w:t xml:space="preserve"> </w:t>
      </w:r>
      <w:r>
        <w:rPr>
          <w:bCs/>
          <w:b/>
        </w:rPr>
        <w:t xml:space="preserve">Judge</w:t>
      </w:r>
      <w:r>
        <w:t xml:space="preserve">. Data logs will record the time spent on each case file and the number of external legal references consulted by the</w:t>
      </w:r>
      <w:r>
        <w:t xml:space="preserve"> </w:t>
      </w:r>
      <w:r>
        <w:rPr>
          <w:bCs/>
          <w:b/>
        </w:rPr>
        <w:t xml:space="preserve">Judge</w:t>
      </w:r>
      <w:r>
        <w:t xml:space="preserve"> </w:t>
      </w:r>
      <w:r>
        <w:t xml:space="preserve">in</w:t>
      </w:r>
      <w:r>
        <w:t xml:space="preserve"> </w:t>
      </w:r>
      <w:r>
        <w:rPr>
          <w:bCs/>
          <w:b/>
        </w:rPr>
        <w:t xml:space="preserve">Turkey Istanbul</w:t>
      </w:r>
      <w:r>
        <w:t xml:space="preserve">.</w:t>
      </w:r>
    </w:p>
    <w:bookmarkEnd w:id="26"/>
    <w:bookmarkStart w:id="27" w:name="phase-3-evaluation"/>
    <w:p>
      <w:pPr>
        <w:pStyle w:val="Heading3"/>
      </w:pPr>
      <w:r>
        <w:t xml:space="preserve">4.3 Phase 3: Evaluation</w:t>
      </w:r>
    </w:p>
    <w:p>
      <w:pPr>
        <w:pStyle w:val="FirstParagraph"/>
      </w:pPr>
      <w:r>
        <w:t xml:space="preserve">At the conclusion of the six-month period, the</w:t>
      </w:r>
      <w:r>
        <w:t xml:space="preserve"> </w:t>
      </w:r>
      <w:r>
        <w:rPr>
          <w:bCs/>
          <w:b/>
        </w:rPr>
        <w:t xml:space="preserve">Experiment Protocol</w:t>
      </w:r>
      <w:r>
        <w:t xml:space="preserve"> </w:t>
      </w:r>
      <w:r>
        <w:t xml:space="preserve">requires a comprehensive review of the outcomes. This includes a blind review of the verdicts issued by the</w:t>
      </w:r>
      <w:r>
        <w:t xml:space="preserve"> </w:t>
      </w:r>
      <w:r>
        <w:rPr>
          <w:bCs/>
          <w:b/>
        </w:rPr>
        <w:t xml:space="preserve">Judge</w:t>
      </w:r>
      <w:r>
        <w:t xml:space="preserve"> </w:t>
      </w:r>
      <w:r>
        <w:t xml:space="preserve">to ensure consistency with Turkish law.</w:t>
      </w:r>
    </w:p>
    <w:bookmarkEnd w:id="27"/>
    <w:bookmarkEnd w:id="28"/>
    <w:bookmarkStart w:id="29" w:name="data-collection-and-metrics"/>
    <w:p>
      <w:pPr>
        <w:pStyle w:val="Heading2"/>
      </w:pPr>
      <w:r>
        <w:t xml:space="preserve">5. Data Collection and Metrics</w:t>
      </w:r>
    </w:p>
    <w:p>
      <w:pPr>
        <w:pStyle w:val="FirstParagraph"/>
      </w:pPr>
      <w:r>
        <w:t xml:space="preserve">The</w:t>
      </w:r>
      <w:r>
        <w:t xml:space="preserve"> </w:t>
      </w:r>
      <w:r>
        <w:rPr>
          <w:bCs/>
          <w:b/>
        </w:rPr>
        <w:t xml:space="preserve">Experiment Protocol</w:t>
      </w:r>
      <w:r>
        <w:t xml:space="preserve"> </w:t>
      </w:r>
      <w:r>
        <w:t xml:space="preserve">will collect quantitative and qualitative data. Key metrics include:</w:t>
      </w:r>
    </w:p>
    <w:p>
      <w:pPr>
        <w:numPr>
          <w:ilvl w:val="0"/>
          <w:numId w:val="1004"/>
        </w:numPr>
        <w:pStyle w:val="Compact"/>
      </w:pPr>
      <w:r>
        <w:rPr>
          <w:bCs/>
          <w:b/>
        </w:rPr>
        <w:t xml:space="preserve">Case Resolution Time:</w:t>
      </w:r>
      <w:r>
        <w:t xml:space="preserve"> </w:t>
      </w:r>
      <w:r>
        <w:t xml:space="preserve">The average duration from case assignment to verdict issuance by the</w:t>
      </w:r>
      <w:r>
        <w:t xml:space="preserve"> </w:t>
      </w:r>
      <w:r>
        <w:rPr>
          <w:bCs/>
          <w:b/>
        </w:rPr>
        <w:t xml:space="preserve">Judge</w:t>
      </w:r>
      <w:r>
        <w:t xml:space="preserve">.</w:t>
      </w:r>
    </w:p>
    <w:p>
      <w:pPr>
        <w:numPr>
          <w:ilvl w:val="0"/>
          <w:numId w:val="1004"/>
        </w:numPr>
        <w:pStyle w:val="Compact"/>
      </w:pPr>
      <w:r>
        <w:rPr>
          <w:bCs/>
          <w:b/>
        </w:rPr>
        <w:t xml:space="preserve">Error Rate:</w:t>
      </w:r>
      <w:r>
        <w:t xml:space="preserve"> </w:t>
      </w:r>
      <w:r>
        <w:t xml:space="preserve">The frequency of procedural errors or appeals based on factual misinterpretation by the</w:t>
      </w:r>
      <w:r>
        <w:t xml:space="preserve"> </w:t>
      </w:r>
      <w:r>
        <w:rPr>
          <w:bCs/>
          <w:b/>
        </w:rPr>
        <w:t xml:space="preserve">Judge</w:t>
      </w:r>
      <w:r>
        <w:t xml:space="preserve">.</w:t>
      </w:r>
    </w:p>
    <w:p>
      <w:pPr>
        <w:numPr>
          <w:ilvl w:val="0"/>
          <w:numId w:val="1004"/>
        </w:numPr>
        <w:pStyle w:val="Compact"/>
      </w:pPr>
      <w:r>
        <w:rPr>
          <w:bCs/>
          <w:b/>
        </w:rPr>
        <w:t xml:space="preserve">User Satisfaction:</w:t>
      </w:r>
      <w:r>
        <w:t xml:space="preserve"> </w:t>
      </w:r>
      <w:r>
        <w:t xml:space="preserve">Surveys administered to the</w:t>
      </w:r>
      <w:r>
        <w:t xml:space="preserve"> </w:t>
      </w:r>
      <w:r>
        <w:rPr>
          <w:bCs/>
          <w:b/>
        </w:rPr>
        <w:t xml:space="preserve">Judge</w:t>
      </w:r>
      <w:r>
        <w:t xml:space="preserve"> </w:t>
      </w:r>
      <w:r>
        <w:t xml:space="preserve">regarding the usability of the tools within the context of</w:t>
      </w:r>
      <w:r>
        <w:t xml:space="preserve"> </w:t>
      </w:r>
      <w:r>
        <w:rPr>
          <w:bCs/>
          <w:b/>
        </w:rPr>
        <w:t xml:space="preserve">Turkey Istanbul</w:t>
      </w:r>
      <w:r>
        <w:t xml:space="preserve">'s court infrastructure.</w:t>
      </w:r>
    </w:p>
    <w:bookmarkEnd w:id="29"/>
    <w:bookmarkStart w:id="30" w:name="ethical-considerations"/>
    <w:p>
      <w:pPr>
        <w:pStyle w:val="Heading2"/>
      </w:pPr>
      <w:r>
        <w:t xml:space="preserve">6. Ethical Considerations</w:t>
      </w:r>
    </w:p>
    <w:p>
      <w:pPr>
        <w:pStyle w:val="FirstParagraph"/>
      </w:pPr>
      <w:r>
        <w:t xml:space="preserve">Given the sensitive nature of the judiciary in</w:t>
      </w:r>
      <w:r>
        <w:t xml:space="preserve"> </w:t>
      </w:r>
      <w:r>
        <w:rPr>
          <w:bCs/>
          <w:b/>
        </w:rPr>
        <w:t xml:space="preserve">Turkey Istanbul</w:t>
      </w:r>
      <w:r>
        <w:t xml:space="preserve">, this</w:t>
      </w:r>
      <w:r>
        <w:t xml:space="preserve"> </w:t>
      </w:r>
      <w:r>
        <w:rPr>
          <w:bCs/>
          <w:b/>
        </w:rPr>
        <w:t xml:space="preserve">Experiment Protocol</w:t>
      </w:r>
      <w:r>
        <w:t xml:space="preserve"> </w:t>
      </w:r>
      <w:r>
        <w:t xml:space="preserve">prioritizes ethical integrity.</w:t>
      </w:r>
    </w:p>
    <w:p>
      <w:pPr>
        <w:numPr>
          <w:ilvl w:val="0"/>
          <w:numId w:val="1005"/>
        </w:numPr>
        <w:pStyle w:val="Compact"/>
      </w:pPr>
      <w:r>
        <w:rPr>
          <w:bCs/>
          <w:b/>
        </w:rPr>
        <w:t xml:space="preserve">Confidentiality:</w:t>
      </w:r>
      <w:r>
        <w:t xml:space="preserve"> </w:t>
      </w:r>
      <w:r>
        <w:t xml:space="preserve">All case data and personal information regarding the</w:t>
      </w:r>
      <w:r>
        <w:t xml:space="preserve"> </w:t>
      </w:r>
      <w:r>
        <w:rPr>
          <w:bCs/>
          <w:b/>
        </w:rPr>
        <w:t xml:space="preserve">Judge</w:t>
      </w:r>
      <w:r>
        <w:t xml:space="preserve"> </w:t>
      </w:r>
      <w:r>
        <w:t xml:space="preserve">will be anonymized in accordance with the Turkish Law on Protection of Personal Data (KVKK).</w:t>
      </w:r>
    </w:p>
    <w:p>
      <w:pPr>
        <w:numPr>
          <w:ilvl w:val="0"/>
          <w:numId w:val="1005"/>
        </w:numPr>
        <w:pStyle w:val="Compact"/>
      </w:pPr>
      <w:r>
        <w:rPr>
          <w:bCs/>
          <w:b/>
        </w:rPr>
        <w:t xml:space="preserve">Non-Interference:</w:t>
      </w:r>
      <w:r>
        <w:t xml:space="preserve"> </w:t>
      </w:r>
      <w:r>
        <w:t xml:space="preserve">The experiment must not disrupt the daily operations of the courts in</w:t>
      </w:r>
      <w:r>
        <w:t xml:space="preserve"> </w:t>
      </w:r>
      <w:r>
        <w:rPr>
          <w:bCs/>
          <w:b/>
        </w:rPr>
        <w:t xml:space="preserve">Turkey Istanbul</w:t>
      </w:r>
      <w:r>
        <w:t xml:space="preserve">.</w:t>
      </w:r>
    </w:p>
    <w:p>
      <w:pPr>
        <w:numPr>
          <w:ilvl w:val="0"/>
          <w:numId w:val="1005"/>
        </w:numPr>
        <w:pStyle w:val="Compact"/>
      </w:pPr>
      <w:r>
        <w:rPr>
          <w:bCs/>
          <w:b/>
        </w:rPr>
        <w:t xml:space="preserve">Right to Withdraw:</w:t>
      </w:r>
      <w:r>
        <w:t xml:space="preserve"> </w:t>
      </w:r>
      <w:r>
        <w:t xml:space="preserve">Any</w:t>
      </w:r>
      <w:r>
        <w:t xml:space="preserve"> </w:t>
      </w:r>
      <w:r>
        <w:rPr>
          <w:bCs/>
          <w:b/>
        </w:rPr>
        <w:t xml:space="preserve">Judge</w:t>
      </w:r>
      <w:r>
        <w:t xml:space="preserve"> </w:t>
      </w:r>
      <w:r>
        <w:t xml:space="preserve">may withdraw from the</w:t>
      </w:r>
      <w:r>
        <w:t xml:space="preserve"> </w:t>
      </w:r>
      <w:r>
        <w:rPr>
          <w:bCs/>
          <w:b/>
        </w:rPr>
        <w:t xml:space="preserve">Experiment Protocol</w:t>
      </w:r>
      <w:r>
        <w:t xml:space="preserve"> </w:t>
      </w:r>
      <w:r>
        <w:t xml:space="preserve">at any time without professional repercussions.</w:t>
      </w:r>
    </w:p>
    <w:bookmarkEnd w:id="30"/>
    <w:bookmarkStart w:id="31"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represents a critical step in understanding how modern technology can support the</w:t>
      </w:r>
      <w:r>
        <w:t xml:space="preserve"> </w:t>
      </w:r>
      <w:r>
        <w:rPr>
          <w:bCs/>
          <w:b/>
        </w:rPr>
        <w:t xml:space="preserve">Judge</w:t>
      </w:r>
      <w:r>
        <w:t xml:space="preserve"> </w:t>
      </w:r>
      <w:r>
        <w:t xml:space="preserve">in one of the world's most dynamic legal environments,</w:t>
      </w:r>
      <w:r>
        <w:t xml:space="preserve"> </w:t>
      </w:r>
      <w:r>
        <w:rPr>
          <w:bCs/>
          <w:b/>
        </w:rPr>
        <w:t xml:space="preserve">Turkey Istanbul</w:t>
      </w:r>
      <w:r>
        <w:t xml:space="preserve">. By rigorously testing these variables, we aim to provide evidence-based recommendations for the Turkish Ministry of Justice to enhance judicial efficiency while maintaining the highest standards of fairness and accuracy.</w:t>
      </w:r>
    </w:p>
    <w:p>
      <w:pPr>
        <w:pStyle w:val="BodyText"/>
      </w:pPr>
      <w:r>
        <w:rPr>
          <w:bCs/>
          <w:b/>
        </w:rPr>
        <w:t xml:space="preserve">Disclaimer:</w:t>
      </w:r>
      <w:r>
        <w:t xml:space="preserve"> </w:t>
      </w:r>
      <w:r>
        <w:t xml:space="preserve">This document is a simulated experiment protocol for educational and technical demonstration purposes. It does not represent an actual ongoing study by the Turkish Ministry of Justice or any affiliated legal body in Turkey Istanbul.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in Turkey Istanbul</dc:title>
  <dc:creator/>
  <dc:language>en</dc:language>
  <cp:keywords/>
  <dcterms:created xsi:type="dcterms:W3CDTF">2026-10-10T02:17:30Z</dcterms:created>
  <dcterms:modified xsi:type="dcterms:W3CDTF">2026-10-10T02:17:30Z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