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Framework</w:t>
      </w:r>
    </w:p>
    <w:bookmarkStart w:id="20" w:name="X0d29ad989dfbe3a4957af5aa399d8d958909d35"/>
    <w:p>
      <w:pPr>
        <w:pStyle w:val="Heading1"/>
      </w:pPr>
      <w:r>
        <w:t xml:space="preserve">Experiment Protocol: Judicial AI Evaluation Framework</w:t>
      </w:r>
    </w:p>
    <w:p>
      <w:pPr>
        <w:pStyle w:val="FirstParagraph"/>
      </w:pPr>
      <w:r>
        <w:rPr>
          <w:bCs/>
          <w:b/>
        </w:rPr>
        <w:t xml:space="preserve">Location:</w:t>
      </w:r>
      <w:r>
        <w:t xml:space="preserve"> </w:t>
      </w:r>
      <w:r>
        <w:t xml:space="preserve">United Arab Emirates, Dubai</w:t>
      </w:r>
      <w:r>
        <w:br/>
      </w:r>
      <w:r>
        <w:rPr>
          <w:bCs/>
          <w:b/>
        </w:rPr>
        <w:t xml:space="preserve">Subject:</w:t>
      </w:r>
      <w:r>
        <w:t xml:space="preserve"> </w:t>
      </w:r>
      <w:r>
        <w:t xml:space="preserve">Algorithmic Assistance for the Judge</w:t>
      </w:r>
      <w:r>
        <w:br/>
      </w:r>
      <w:r>
        <w:rPr>
          <w:bCs/>
          <w:b/>
        </w:rPr>
        <w:t xml:space="preserve">Protocol ID:</w:t>
      </w:r>
      <w:r>
        <w:t xml:space="preserve"> </w:t>
      </w:r>
      <w:r>
        <w:t xml:space="preserve">UAE-DXB-JUD-2024-001</w:t>
      </w:r>
      <w:r>
        <w:br/>
      </w:r>
      <w:r>
        <w:rPr>
          <w:bCs/>
          <w:b/>
        </w:rPr>
        <w:t xml:space="preserve">Status:</w:t>
      </w:r>
      <w:r>
        <w:t xml:space="preserve"> </w:t>
      </w:r>
      <w:r>
        <w:t xml:space="preserve">Draft for Regulatory Review</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designed to evaluate the efficacy, accuracy, and ethical compliance of Artificial Intelligence (AI) decision-support systems within the judicial framework of the</w:t>
      </w:r>
      <w:r>
        <w:t xml:space="preserve"> </w:t>
      </w:r>
      <w:r>
        <w:rPr>
          <w:bCs/>
          <w:b/>
        </w:rPr>
        <w:t xml:space="preserve">United Arab Emirates, Dubai</w:t>
      </w:r>
      <w:r>
        <w:t xml:space="preserve">. As Dubai positions itself as a global leader in smart governance and digital transformation, the integration of advanced technologies into the Dubai Courts is a strategic priority.</w:t>
      </w:r>
    </w:p>
    <w:p>
      <w:pPr>
        <w:pStyle w:val="BodyText"/>
      </w:pPr>
      <w:r>
        <w:t xml:space="preserve">The primary objective of this experiment is to assess how AI tools can assist a</w:t>
      </w:r>
      <w:r>
        <w:t xml:space="preserve"> </w:t>
      </w:r>
      <w:r>
        <w:rPr>
          <w:bCs/>
          <w:b/>
        </w:rPr>
        <w:t xml:space="preserve">Judge</w:t>
      </w:r>
      <w:r>
        <w:t xml:space="preserve"> </w:t>
      </w:r>
      <w:r>
        <w:t xml:space="preserve">in case management, legal research, and preliminary evidence analysis without compromising judicial independence or human oversight. The protocol strictly adheres to the UAE's Federal Decree-Law No. 35 of 2021 regarding Artificial Intelligence and the specific regulations of the Dubai Judicial Department.</w:t>
      </w:r>
    </w:p>
    <w:bookmarkEnd w:id="21"/>
    <w:bookmarkStart w:id="22" w:name="scope-and-context"/>
    <w:p>
      <w:pPr>
        <w:pStyle w:val="Heading2"/>
      </w:pPr>
      <w:r>
        <w:t xml:space="preserve">2. Scope and Context</w:t>
      </w:r>
    </w:p>
    <w:p>
      <w:pPr>
        <w:pStyle w:val="FirstParagraph"/>
      </w:pPr>
      <w:r>
        <w:t xml:space="preserve">The experiment will be conducted within a controlled environment at the Dubai Courts complex. It focuses on civil and commercial cases where the volume of documentation is high, and the legal precedents are well-documented. The scope is limited to "Decision Support" rather than "Decision Making." The</w:t>
      </w:r>
      <w:r>
        <w:t xml:space="preserve"> </w:t>
      </w:r>
      <w:r>
        <w:rPr>
          <w:bCs/>
          <w:b/>
        </w:rPr>
        <w:t xml:space="preserve">Judge</w:t>
      </w:r>
      <w:r>
        <w:t xml:space="preserve"> </w:t>
      </w:r>
      <w:r>
        <w:t xml:space="preserve">remains the sole authority for final rulings.</w:t>
      </w:r>
    </w:p>
    <w:p>
      <w:pPr>
        <w:pStyle w:val="BodyText"/>
      </w:pPr>
      <w:r>
        <w:t xml:space="preserve">This protocol addresses the unique legal landscape of the</w:t>
      </w:r>
      <w:r>
        <w:t xml:space="preserve"> </w:t>
      </w:r>
      <w:r>
        <w:rPr>
          <w:bCs/>
          <w:b/>
        </w:rPr>
        <w:t xml:space="preserve">United Arab Emirates, Dubai</w:t>
      </w:r>
      <w:r>
        <w:t xml:space="preserve">, which blends civil law traditions with Sharia principles in specific family and personal status matters. Therefore, the AI models tested must be fine-tuned to recognize and respect this dual legal structure.</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The study utilizes a randomized controlled trial (RCT) design involving a cohort of senior judges from the Dubai Courts. The cohort is divided into two groups:</w:t>
      </w:r>
    </w:p>
    <w:p>
      <w:pPr>
        <w:numPr>
          <w:ilvl w:val="0"/>
          <w:numId w:val="1001"/>
        </w:numPr>
        <w:pStyle w:val="Compact"/>
      </w:pPr>
      <w:r>
        <w:rPr>
          <w:bCs/>
          <w:b/>
        </w:rPr>
        <w:t xml:space="preserve">Control Group:</w:t>
      </w:r>
      <w:r>
        <w:t xml:space="preserve"> </w:t>
      </w:r>
      <w:r>
        <w:t xml:space="preserve">Judges who review cases using traditional methods and standard digital archives.</w:t>
      </w:r>
    </w:p>
    <w:p>
      <w:pPr>
        <w:numPr>
          <w:ilvl w:val="0"/>
          <w:numId w:val="1001"/>
        </w:numPr>
        <w:pStyle w:val="Compact"/>
      </w:pPr>
      <w:r>
        <w:rPr>
          <w:bCs/>
          <w:b/>
        </w:rPr>
        <w:t xml:space="preserve">Treatment Group:</w:t>
      </w:r>
      <w:r>
        <w:t xml:space="preserve"> </w:t>
      </w:r>
      <w:r>
        <w:t xml:space="preserve">Judges who utilize the AI-assisted platform to summarize case files, highlight relevant precedents, and flag potential inconsistencies in evidence.</w:t>
      </w:r>
    </w:p>
    <w:bookmarkEnd w:id="23"/>
    <w:bookmarkStart w:id="24" w:name="data-selection"/>
    <w:p>
      <w:pPr>
        <w:pStyle w:val="Heading3"/>
      </w:pPr>
      <w:r>
        <w:t xml:space="preserve">3.2. Data Selection</w:t>
      </w:r>
    </w:p>
    <w:p>
      <w:pPr>
        <w:pStyle w:val="FirstParagraph"/>
      </w:pPr>
      <w:r>
        <w:t xml:space="preserve">A dataset of 500 anonymized past cases from the</w:t>
      </w:r>
      <w:r>
        <w:t xml:space="preserve"> </w:t>
      </w:r>
      <w:r>
        <w:rPr>
          <w:bCs/>
          <w:b/>
        </w:rPr>
        <w:t xml:space="preserve">United Arab Emirates, Dubai</w:t>
      </w:r>
      <w:r>
        <w:t xml:space="preserve"> </w:t>
      </w:r>
      <w:r>
        <w:t xml:space="preserve">courts will be used. These cases will be selected to ensure a diverse representation of legal complexities. All personally identifiable information (PII) will be redacted in strict accordance with the UAE Data Protection Law to ensure privacy and confidentiality.</w:t>
      </w:r>
    </w:p>
    <w:bookmarkEnd w:id="24"/>
    <w:bookmarkStart w:id="25" w:name="procedure"/>
    <w:p>
      <w:pPr>
        <w:pStyle w:val="Heading3"/>
      </w:pPr>
      <w:r>
        <w:t xml:space="preserve">3.3. Procedure</w:t>
      </w:r>
    </w:p>
    <w:p>
      <w:pPr>
        <w:pStyle w:val="FirstParagraph"/>
      </w:pPr>
      <w:r>
        <w:t xml:space="preserve">Over a period of six months, participating</w:t>
      </w:r>
      <w:r>
        <w:t xml:space="preserve"> </w:t>
      </w:r>
      <w:r>
        <w:rPr>
          <w:bCs/>
          <w:b/>
        </w:rPr>
        <w:t xml:space="preserve">Judge</w:t>
      </w:r>
      <w:r>
        <w:t xml:space="preserve">s will process assigned cases. The AI system will provide real-time suggestions. The protocol requires that every suggestion made by the AI be logged, and the</w:t>
      </w:r>
      <w:r>
        <w:t xml:space="preserve"> </w:t>
      </w:r>
      <w:r>
        <w:rPr>
          <w:bCs/>
          <w:b/>
        </w:rPr>
        <w:t xml:space="preserve">Judge</w:t>
      </w:r>
      <w:r>
        <w:t xml:space="preserve"> </w:t>
      </w:r>
      <w:r>
        <w:t xml:space="preserve">must explicitly accept, reject, or modify the suggestion before proceeding. This ensures an audit trail of human oversight.</w:t>
      </w:r>
    </w:p>
    <w:bookmarkEnd w:id="25"/>
    <w:bookmarkEnd w:id="26"/>
    <w:bookmarkStart w:id="27" w:name="ethical-considerations-and-compliance"/>
    <w:p>
      <w:pPr>
        <w:pStyle w:val="Heading2"/>
      </w:pPr>
      <w:r>
        <w:t xml:space="preserve">4. Ethical Considerations and Compliance</w:t>
      </w:r>
    </w:p>
    <w:p>
      <w:pPr>
        <w:pStyle w:val="FirstParagraph"/>
      </w:pPr>
      <w:r>
        <w:t xml:space="preserve">Given the sensitive nature of judicial proceedings in the</w:t>
      </w:r>
      <w:r>
        <w:t xml:space="preserve"> </w:t>
      </w:r>
      <w:r>
        <w:rPr>
          <w:bCs/>
          <w:b/>
        </w:rPr>
        <w:t xml:space="preserve">United Arab Emirates, Dubai</w:t>
      </w:r>
      <w:r>
        <w:t xml:space="preserve">, ethical compliance is paramount. The experiment is governed by the following principles:</w:t>
      </w:r>
    </w:p>
    <w:p>
      <w:pPr>
        <w:numPr>
          <w:ilvl w:val="0"/>
          <w:numId w:val="1002"/>
        </w:numPr>
        <w:pStyle w:val="Compact"/>
      </w:pPr>
      <w:r>
        <w:rPr>
          <w:bCs/>
          <w:b/>
        </w:rPr>
        <w:t xml:space="preserve">Judicial Independence:</w:t>
      </w:r>
      <w:r>
        <w:t xml:space="preserve"> </w:t>
      </w:r>
      <w:r>
        <w:t xml:space="preserve">The AI must never dictate a verdict. It serves only as a tool for efficiency and accuracy.</w:t>
      </w:r>
    </w:p>
    <w:p>
      <w:pPr>
        <w:numPr>
          <w:ilvl w:val="0"/>
          <w:numId w:val="1002"/>
        </w:numPr>
        <w:pStyle w:val="Compact"/>
      </w:pPr>
      <w:r>
        <w:rPr>
          <w:bCs/>
          <w:b/>
        </w:rPr>
        <w:t xml:space="preserve">Transparency:</w:t>
      </w:r>
      <w:r>
        <w:t xml:space="preserve"> </w:t>
      </w:r>
      <w:r>
        <w:t xml:space="preserve">The algorithms used must be explainable. A</w:t>
      </w:r>
      <w:r>
        <w:t xml:space="preserve"> </w:t>
      </w:r>
      <w:r>
        <w:rPr>
          <w:bCs/>
          <w:b/>
        </w:rPr>
        <w:t xml:space="preserve">Judge</w:t>
      </w:r>
      <w:r>
        <w:t xml:space="preserve"> </w:t>
      </w:r>
      <w:r>
        <w:t xml:space="preserve">must be able to understand the logic behind an AI's recommendation.</w:t>
      </w:r>
    </w:p>
    <w:p>
      <w:pPr>
        <w:numPr>
          <w:ilvl w:val="0"/>
          <w:numId w:val="1002"/>
        </w:numPr>
        <w:pStyle w:val="Compact"/>
      </w:pPr>
      <w:r>
        <w:rPr>
          <w:bCs/>
          <w:b/>
        </w:rPr>
        <w:t xml:space="preserve">Non-Discrimination:</w:t>
      </w:r>
      <w:r>
        <w:t xml:space="preserve"> </w:t>
      </w:r>
      <w:r>
        <w:t xml:space="preserve">The AI models will be rigorously tested for bias to ensure they do not discriminate based on nationality, gender, or ethnicity, aligning with the UAE's vision of inclusivity.</w:t>
      </w:r>
    </w:p>
    <w:p>
      <w:pPr>
        <w:numPr>
          <w:ilvl w:val="0"/>
          <w:numId w:val="1002"/>
        </w:numPr>
        <w:pStyle w:val="Compact"/>
      </w:pPr>
      <w:r>
        <w:rPr>
          <w:bCs/>
          <w:b/>
        </w:rPr>
        <w:t xml:space="preserve">Data Sovereignty:</w:t>
      </w:r>
      <w:r>
        <w:t xml:space="preserve"> </w:t>
      </w:r>
      <w:r>
        <w:t xml:space="preserve">All data processing must occur on servers located within the</w:t>
      </w:r>
      <w:r>
        <w:t xml:space="preserve"> </w:t>
      </w:r>
      <w:r>
        <w:rPr>
          <w:bCs/>
          <w:b/>
        </w:rPr>
        <w:t xml:space="preserve">United Arab Emirates, Dubai</w:t>
      </w:r>
      <w:r>
        <w:t xml:space="preserve"> </w:t>
      </w:r>
      <w:r>
        <w:t xml:space="preserve">to comply with local data residency laws.</w:t>
      </w:r>
    </w:p>
    <w:bookmarkEnd w:id="27"/>
    <w:bookmarkStart w:id="28" w:name="metrics-for-evaluation"/>
    <w:p>
      <w:pPr>
        <w:pStyle w:val="Heading2"/>
      </w:pPr>
      <w:r>
        <w:t xml:space="preserve">5. Metrics for Evaluation</w:t>
      </w:r>
    </w:p>
    <w:p>
      <w:pPr>
        <w:pStyle w:val="FirstParagraph"/>
      </w:pPr>
      <w:r>
        <w:t xml:space="preserve">The success of this Experiment Protocol will be measured using quantitative and qualitative metrics:</w:t>
      </w:r>
    </w:p>
    <w:p>
      <w:pPr>
        <w:numPr>
          <w:ilvl w:val="0"/>
          <w:numId w:val="1003"/>
        </w:numPr>
        <w:pStyle w:val="Compact"/>
      </w:pPr>
      <w:r>
        <w:rPr>
          <w:bCs/>
          <w:b/>
        </w:rPr>
        <w:t xml:space="preserve">Efficiency:</w:t>
      </w:r>
      <w:r>
        <w:t xml:space="preserve"> </w:t>
      </w:r>
      <w:r>
        <w:t xml:space="preserve">Reduction in time taken to review case files and draft preliminary judgments.</w:t>
      </w:r>
    </w:p>
    <w:p>
      <w:pPr>
        <w:numPr>
          <w:ilvl w:val="0"/>
          <w:numId w:val="1003"/>
        </w:numPr>
        <w:pStyle w:val="Compact"/>
      </w:pPr>
      <w:r>
        <w:rPr>
          <w:bCs/>
          <w:b/>
        </w:rPr>
        <w:t xml:space="preserve">Accuracy:</w:t>
      </w:r>
      <w:r>
        <w:t xml:space="preserve"> </w:t>
      </w:r>
      <w:r>
        <w:t xml:space="preserve">Comparison of AI-identified legal precedents against those cited by the</w:t>
      </w:r>
      <w:r>
        <w:t xml:space="preserve"> </w:t>
      </w:r>
      <w:r>
        <w:rPr>
          <w:bCs/>
          <w:b/>
        </w:rPr>
        <w:t xml:space="preserve">Judge</w:t>
      </w:r>
      <w:r>
        <w:t xml:space="preserve"> </w:t>
      </w:r>
      <w:r>
        <w:t xml:space="preserve">in the final ruling.</w:t>
      </w:r>
    </w:p>
    <w:p>
      <w:pPr>
        <w:numPr>
          <w:ilvl w:val="0"/>
          <w:numId w:val="1003"/>
        </w:numPr>
        <w:pStyle w:val="Compact"/>
      </w:pPr>
      <w:r>
        <w:rPr>
          <w:bCs/>
          <w:b/>
        </w:rPr>
        <w:t xml:space="preserve">User Satisfaction:</w:t>
      </w:r>
      <w:r>
        <w:t xml:space="preserve"> </w:t>
      </w:r>
      <w:r>
        <w:t xml:space="preserve">Surveys conducted with participating judges regarding the usability and reliability of the tool.</w:t>
      </w:r>
    </w:p>
    <w:p>
      <w:pPr>
        <w:numPr>
          <w:ilvl w:val="0"/>
          <w:numId w:val="1003"/>
        </w:numPr>
        <w:pStyle w:val="Compact"/>
      </w:pPr>
      <w:r>
        <w:rPr>
          <w:bCs/>
          <w:b/>
        </w:rPr>
        <w:t xml:space="preserve">Error Rate:</w:t>
      </w:r>
      <w:r>
        <w:t xml:space="preserve"> </w:t>
      </w:r>
      <w:r>
        <w:t xml:space="preserve">Frequency of hallucinations or incorrect legal citations generated by the AI.</w:t>
      </w:r>
    </w:p>
    <w:bookmarkEnd w:id="28"/>
    <w:bookmarkStart w:id="29" w:name="risk-management"/>
    <w:p>
      <w:pPr>
        <w:pStyle w:val="Heading2"/>
      </w:pPr>
      <w:r>
        <w:t xml:space="preserve">6. Risk Management</w:t>
      </w:r>
    </w:p>
    <w:p>
      <w:pPr>
        <w:pStyle w:val="FirstParagraph"/>
      </w:pPr>
      <w:r>
        <w:t xml:space="preserve">Potential risks include over-reliance on AI by the</w:t>
      </w:r>
      <w:r>
        <w:t xml:space="preserve"> </w:t>
      </w:r>
      <w:r>
        <w:rPr>
          <w:bCs/>
          <w:b/>
        </w:rPr>
        <w:t xml:space="preserve">Judge</w:t>
      </w:r>
      <w:r>
        <w:t xml:space="preserve">, technical failures, and data breaches. Mitigation strategies include mandatory training for all judicial staff, regular system audits by the Dubai Judicial Department, and the implementation of robust cybersecurity protocols compliant with UAE standards. In the event of a critical system failure, the experiment will be paused immediately, and traditional procedures will resume.</w:t>
      </w:r>
    </w:p>
    <w:bookmarkEnd w:id="29"/>
    <w:bookmarkStart w:id="30" w:name="conclusion"/>
    <w:p>
      <w:pPr>
        <w:pStyle w:val="Heading2"/>
      </w:pPr>
      <w:r>
        <w:t xml:space="preserve">7. Conclusion</w:t>
      </w:r>
    </w:p>
    <w:p>
      <w:pPr>
        <w:pStyle w:val="FirstParagraph"/>
      </w:pPr>
      <w:r>
        <w:t xml:space="preserve">This Experiment Protocol represents a significant step toward modernizing the judiciary in the</w:t>
      </w:r>
      <w:r>
        <w:t xml:space="preserve"> </w:t>
      </w:r>
      <w:r>
        <w:rPr>
          <w:bCs/>
          <w:b/>
        </w:rPr>
        <w:t xml:space="preserve">United Arab Emirates, Dubai</w:t>
      </w:r>
      <w:r>
        <w:t xml:space="preserve">. By rigorously testing AI tools under the supervision of experienced</w:t>
      </w:r>
      <w:r>
        <w:t xml:space="preserve"> </w:t>
      </w:r>
      <w:r>
        <w:rPr>
          <w:bCs/>
          <w:b/>
        </w:rPr>
        <w:t xml:space="preserve">Judge</w:t>
      </w:r>
      <w:r>
        <w:t xml:space="preserve">s, the Dubai Courts aim to enhance access to justice, reduce backlogs, and maintain the highest standards of fairness and integrity. The findings from this study will inform future policy decisions regarding the broader adoption of AI in the UAE legal sector.</w:t>
      </w:r>
    </w:p>
    <w:bookmarkEnd w:id="30"/>
    <w:p>
      <w:pPr>
        <w:pStyle w:val="BodyText"/>
      </w:pPr>
      <w:r>
        <w:t xml:space="preserve">© 2024 Dubai Judicial Department. All Rights Reserved. This document is confidential and intended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Framework</dc:title>
  <dc:creator/>
  <dc:language>en</dc:language>
  <cp:keywords/>
  <dcterms:created xsi:type="dcterms:W3CDTF">2026-10-10T03:39:14Z</dcterms:created>
  <dcterms:modified xsi:type="dcterms:W3CDTF">2026-10-10T03:39:14Z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