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Judicial</w:t>
      </w:r>
      <w:r>
        <w:t xml:space="preserve"> </w:t>
      </w:r>
      <w:r>
        <w:t xml:space="preserve">Decision-Making</w:t>
      </w:r>
      <w:r>
        <w:t xml:space="preserve"> </w:t>
      </w:r>
      <w:r>
        <w:t xml:space="preserve">in</w:t>
      </w:r>
      <w:r>
        <w:t xml:space="preserve"> </w:t>
      </w:r>
      <w:r>
        <w:t xml:space="preserve">Chicago</w:t>
      </w:r>
    </w:p>
    <w:bookmarkStart w:id="33" w:name="Xbefc75b47aab343bd9b5ee6e6a0b07735158123"/>
    <w:p>
      <w:pPr>
        <w:pStyle w:val="Heading1"/>
      </w:pPr>
      <w:r>
        <w:t xml:space="preserve">Experiment Protocol: Judicial Decision-Making in Chicago</w:t>
      </w:r>
    </w:p>
    <w:p>
      <w:pPr>
        <w:pStyle w:val="FirstParagraph"/>
      </w:pPr>
      <w:r>
        <w:rPr>
          <w:bCs/>
          <w:b/>
        </w:rPr>
        <w:t xml:space="preserve">Protocol ID:</w:t>
      </w:r>
      <w:r>
        <w:t xml:space="preserve"> </w:t>
      </w:r>
      <w:r>
        <w:t xml:space="preserve">JDC-CHI-2024-001</w:t>
      </w:r>
    </w:p>
    <w:p>
      <w:pPr>
        <w:pStyle w:val="BodyText"/>
      </w:pPr>
      <w:r>
        <w:rPr>
          <w:bCs/>
          <w:b/>
        </w:rPr>
        <w:t xml:space="preserve">Location:</w:t>
      </w:r>
      <w:r>
        <w:t xml:space="preserve"> </w:t>
      </w:r>
      <w:r>
        <w:t xml:space="preserve">United States Chicago, Cook County Circuit Court</w:t>
      </w:r>
    </w:p>
    <w:p>
      <w:pPr>
        <w:pStyle w:val="BodyText"/>
      </w:pPr>
      <w:r>
        <w:rPr>
          <w:bCs/>
          <w:b/>
        </w:rPr>
        <w:t xml:space="preserve">Date:</w:t>
      </w:r>
      <w:r>
        <w:t xml:space="preserve"> </w:t>
      </w:r>
      <w:r>
        <w:t xml:space="preserve">October 2024</w:t>
      </w:r>
    </w:p>
    <w:p>
      <w:pPr>
        <w:pStyle w:val="BodyText"/>
      </w:pPr>
      <w:r>
        <w:rPr>
          <w:bCs/>
          <w:b/>
        </w:rPr>
        <w:t xml:space="preserve">Principal Investigator:</w:t>
      </w:r>
      <w:r>
        <w:t xml:space="preserve"> </w:t>
      </w:r>
      <w:r>
        <w:t xml:space="preserve">[Name Redacted]</w:t>
      </w:r>
    </w:p>
    <w:bookmarkStart w:id="20" w:name="introduction-and-background"/>
    <w:p>
      <w:pPr>
        <w:pStyle w:val="Heading2"/>
      </w:pPr>
      <w:r>
        <w:t xml:space="preserve">1. Introduction and Background</w:t>
      </w:r>
    </w:p>
    <w:p>
      <w:pPr>
        <w:pStyle w:val="FirstParagraph"/>
      </w:pPr>
      <w:r>
        <w:t xml:space="preserve">This Experiment Protocol outlines the methodology for a controlled observational study focused on the decision-making processes of a Judge within the judicial system of United States Chicago. The study aims to analyze how specific variables influence judicial rulings in civil and criminal cases. The research is conducted in compliance with federal and state regulations, including the Illinois Supreme Court Rules and the Code of Judicial Conduct.</w:t>
      </w:r>
    </w:p>
    <w:p>
      <w:pPr>
        <w:pStyle w:val="BodyText"/>
      </w:pPr>
      <w:r>
        <w:t xml:space="preserve">The primary objective is to understand the factors that affect judicial discretion, such as case complexity, defendant demographics, and courtroom dynamics. This study will provide valuable insights into the fairness and consistency of judicial decisions in one of the largest urban judicial systems in the United States.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evaluate the impact of case type on the decision-making process of a Judge in United States Chicago.</w:t>
      </w:r>
    </w:p>
    <w:p>
      <w:pPr>
        <w:numPr>
          <w:ilvl w:val="0"/>
          <w:numId w:val="1001"/>
        </w:numPr>
        <w:pStyle w:val="Compact"/>
      </w:pPr>
      <w:r>
        <w:t xml:space="preserve">To assess the influence of external factors, such as media coverage and public opinion, on judicial rulings.</w:t>
      </w:r>
    </w:p>
    <w:p>
      <w:pPr>
        <w:numPr>
          <w:ilvl w:val="0"/>
          <w:numId w:val="1001"/>
        </w:numPr>
        <w:pStyle w:val="Compact"/>
      </w:pPr>
      <w:r>
        <w:t xml:space="preserve">To determine the consistency of judicial decisions across different cases and judges within the Cook County Circuit Court.</w:t>
      </w:r>
    </w:p>
    <w:p>
      <w:pPr>
        <w:numPr>
          <w:ilvl w:val="0"/>
          <w:numId w:val="1001"/>
        </w:numPr>
        <w:pStyle w:val="Compact"/>
      </w:pPr>
      <w:r>
        <w:t xml:space="preserve">To identify potential biases in judicial decision-making and propose recommendations for improving judicial fairness.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will employ a mixed-methods approach, combining quantitative data analysis with qualitative observations. The experiment will be conducted over a period of six months, during which time data will be collected from a sample of cases heard by a Judge in United States Chicago.</w:t>
      </w:r>
    </w:p>
    <w:bookmarkEnd w:id="22"/>
    <w:bookmarkStart w:id="23" w:name="participants"/>
    <w:p>
      <w:pPr>
        <w:pStyle w:val="Heading3"/>
      </w:pPr>
      <w:r>
        <w:t xml:space="preserve">3.2 Participants</w:t>
      </w:r>
    </w:p>
    <w:p>
      <w:pPr>
        <w:pStyle w:val="FirstParagraph"/>
      </w:pPr>
      <w:r>
        <w:t xml:space="preserve">The participants in this study include:</w:t>
      </w:r>
    </w:p>
    <w:p>
      <w:pPr>
        <w:numPr>
          <w:ilvl w:val="0"/>
          <w:numId w:val="1002"/>
        </w:numPr>
        <w:pStyle w:val="Compact"/>
      </w:pPr>
      <w:r>
        <w:rPr>
          <w:bCs/>
          <w:b/>
        </w:rPr>
        <w:t xml:space="preserve">Judge:</w:t>
      </w:r>
      <w:r>
        <w:t xml:space="preserve"> </w:t>
      </w:r>
      <w:r>
        <w:t xml:space="preserve">A randomly selected Judge from the Cook County Circuit Court who agrees to participate in the study.</w:t>
      </w:r>
    </w:p>
    <w:p>
      <w:pPr>
        <w:numPr>
          <w:ilvl w:val="0"/>
          <w:numId w:val="1002"/>
        </w:numPr>
        <w:pStyle w:val="Compact"/>
      </w:pPr>
      <w:r>
        <w:rPr>
          <w:bCs/>
          <w:b/>
        </w:rPr>
        <w:t xml:space="preserve">Defendants:</w:t>
      </w:r>
      <w:r>
        <w:t xml:space="preserve"> </w:t>
      </w:r>
      <w:r>
        <w:t xml:space="preserve">Individuals involved in civil or criminal cases heard by the participating Judge.</w:t>
      </w:r>
    </w:p>
    <w:p>
      <w:pPr>
        <w:numPr>
          <w:ilvl w:val="0"/>
          <w:numId w:val="1002"/>
        </w:numPr>
        <w:pStyle w:val="Compact"/>
      </w:pPr>
      <w:r>
        <w:rPr>
          <w:bCs/>
          <w:b/>
        </w:rPr>
        <w:t xml:space="preserve">Legal Professionals:</w:t>
      </w:r>
      <w:r>
        <w:t xml:space="preserve"> </w:t>
      </w:r>
      <w:r>
        <w:t xml:space="preserve">Attorneys and court staff involved in the cases.</w:t>
      </w:r>
    </w:p>
    <w:bookmarkEnd w:id="23"/>
    <w:bookmarkStart w:id="24" w:name="data-collection"/>
    <w:p>
      <w:pPr>
        <w:pStyle w:val="Heading3"/>
      </w:pPr>
      <w:r>
        <w:t xml:space="preserve">3.3 Data Collection</w:t>
      </w:r>
    </w:p>
    <w:p>
      <w:pPr>
        <w:pStyle w:val="FirstParagraph"/>
      </w:pPr>
      <w:r>
        <w:t xml:space="preserve">Data will be collected through the following methods:</w:t>
      </w:r>
    </w:p>
    <w:p>
      <w:pPr>
        <w:numPr>
          <w:ilvl w:val="0"/>
          <w:numId w:val="1003"/>
        </w:numPr>
        <w:pStyle w:val="Compact"/>
      </w:pPr>
      <w:r>
        <w:rPr>
          <w:bCs/>
          <w:b/>
        </w:rPr>
        <w:t xml:space="preserve">Courtroom Observations:</w:t>
      </w:r>
      <w:r>
        <w:t xml:space="preserve"> </w:t>
      </w:r>
      <w:r>
        <w:t xml:space="preserve">Trained observers will attend court sessions to record judicial behavior, courtroom interactions, and decision-making processes.</w:t>
      </w:r>
    </w:p>
    <w:p>
      <w:pPr>
        <w:numPr>
          <w:ilvl w:val="0"/>
          <w:numId w:val="1003"/>
        </w:numPr>
        <w:pStyle w:val="Compact"/>
      </w:pPr>
      <w:r>
        <w:rPr>
          <w:bCs/>
          <w:b/>
        </w:rPr>
        <w:t xml:space="preserve">Case File Analysis:</w:t>
      </w:r>
      <w:r>
        <w:t xml:space="preserve"> </w:t>
      </w:r>
      <w:r>
        <w:t xml:space="preserve">Researchers will review case files to gather information on case details, defendant backgrounds, and judicial rulings.</w:t>
      </w:r>
    </w:p>
    <w:p>
      <w:pPr>
        <w:numPr>
          <w:ilvl w:val="0"/>
          <w:numId w:val="1003"/>
        </w:numPr>
        <w:pStyle w:val="Compact"/>
      </w:pPr>
      <w:r>
        <w:rPr>
          <w:bCs/>
          <w:b/>
        </w:rPr>
        <w:t xml:space="preserve">Surveys and Interviews:</w:t>
      </w:r>
      <w:r>
        <w:t xml:space="preserve"> </w:t>
      </w:r>
      <w:r>
        <w:t xml:space="preserve">Surveys and interviews will be conducted with legal professionals and court staff to gather their perspectives on judicial decision-making.</w:t>
      </w:r>
    </w:p>
    <w:bookmarkEnd w:id="24"/>
    <w:bookmarkEnd w:id="25"/>
    <w:bookmarkStart w:id="28" w:name="variables"/>
    <w:p>
      <w:pPr>
        <w:pStyle w:val="Heading2"/>
      </w:pPr>
      <w:r>
        <w:t xml:space="preserve">4. Variables</w:t>
      </w:r>
    </w:p>
    <w:bookmarkStart w:id="26" w:name="independent-variables"/>
    <w:p>
      <w:pPr>
        <w:pStyle w:val="Heading3"/>
      </w:pPr>
      <w:r>
        <w:t xml:space="preserve">4.1 Independent Variables</w:t>
      </w:r>
    </w:p>
    <w:p>
      <w:pPr>
        <w:pStyle w:val="FirstParagraph"/>
      </w:pPr>
      <w:r>
        <w:t xml:space="preserve">The independent variables in this study include:</w:t>
      </w:r>
    </w:p>
    <w:p>
      <w:pPr>
        <w:numPr>
          <w:ilvl w:val="0"/>
          <w:numId w:val="1004"/>
        </w:numPr>
        <w:pStyle w:val="Compact"/>
      </w:pPr>
      <w:r>
        <w:t xml:space="preserve">Case type (civil vs. criminal)</w:t>
      </w:r>
    </w:p>
    <w:p>
      <w:pPr>
        <w:numPr>
          <w:ilvl w:val="0"/>
          <w:numId w:val="1004"/>
        </w:numPr>
        <w:pStyle w:val="Compact"/>
      </w:pPr>
      <w:r>
        <w:t xml:space="preserve">Defendant demographics (age, gender, race, socioeconomic status)</w:t>
      </w:r>
    </w:p>
    <w:p>
      <w:pPr>
        <w:numPr>
          <w:ilvl w:val="0"/>
          <w:numId w:val="1004"/>
        </w:numPr>
        <w:pStyle w:val="Compact"/>
      </w:pPr>
      <w:r>
        <w:t xml:space="preserve">Severity of the offense</w:t>
      </w:r>
    </w:p>
    <w:p>
      <w:pPr>
        <w:numPr>
          <w:ilvl w:val="0"/>
          <w:numId w:val="1004"/>
        </w:numPr>
        <w:pStyle w:val="Compact"/>
      </w:pPr>
      <w:r>
        <w:t xml:space="preserve">Presence of prior criminal record</w:t>
      </w:r>
    </w:p>
    <w:bookmarkEnd w:id="26"/>
    <w:bookmarkStart w:id="27" w:name="dependent-variables"/>
    <w:p>
      <w:pPr>
        <w:pStyle w:val="Heading3"/>
      </w:pPr>
      <w:r>
        <w:t xml:space="preserve">4.2 Dependent Variables</w:t>
      </w:r>
    </w:p>
    <w:p>
      <w:pPr>
        <w:pStyle w:val="FirstParagraph"/>
      </w:pPr>
      <w:r>
        <w:t xml:space="preserve">The dependent variables include:</w:t>
      </w:r>
    </w:p>
    <w:p>
      <w:pPr>
        <w:numPr>
          <w:ilvl w:val="0"/>
          <w:numId w:val="1005"/>
        </w:numPr>
        <w:pStyle w:val="Compact"/>
      </w:pPr>
      <w:r>
        <w:t xml:space="preserve">Judicial rulings (guilty/not guilty, sentencing decisions, civil judgments)</w:t>
      </w:r>
    </w:p>
    <w:p>
      <w:pPr>
        <w:numPr>
          <w:ilvl w:val="0"/>
          <w:numId w:val="1005"/>
        </w:numPr>
        <w:pStyle w:val="Compact"/>
      </w:pPr>
      <w:r>
        <w:t xml:space="preserve">Time taken to reach a decision</w:t>
      </w:r>
    </w:p>
    <w:p>
      <w:pPr>
        <w:numPr>
          <w:ilvl w:val="0"/>
          <w:numId w:val="1005"/>
        </w:numPr>
        <w:pStyle w:val="Compact"/>
      </w:pPr>
      <w:r>
        <w:t xml:space="preserve">Consistency of rulings across similar cases</w:t>
      </w:r>
    </w:p>
    <w:bookmarkEnd w:id="27"/>
    <w:bookmarkEnd w:id="28"/>
    <w:bookmarkStart w:id="29" w:name="ethical-considerations"/>
    <w:p>
      <w:pPr>
        <w:pStyle w:val="Heading2"/>
      </w:pPr>
      <w:r>
        <w:t xml:space="preserve">5. Ethical Considerations</w:t>
      </w:r>
    </w:p>
    <w:p>
      <w:pPr>
        <w:pStyle w:val="FirstParagraph"/>
      </w:pPr>
      <w:r>
        <w:t xml:space="preserve">This study will adhere to strict ethical guidelines to ensure the protection of participants' rights and confidentiality. Key ethical considerations include:</w:t>
      </w:r>
    </w:p>
    <w:p>
      <w:pPr>
        <w:numPr>
          <w:ilvl w:val="0"/>
          <w:numId w:val="1006"/>
        </w:numPr>
        <w:pStyle w:val="Compact"/>
      </w:pPr>
      <w:r>
        <w:rPr>
          <w:bCs/>
          <w:b/>
        </w:rPr>
        <w:t xml:space="preserve">Informed Consent:</w:t>
      </w:r>
      <w:r>
        <w:t xml:space="preserve"> </w:t>
      </w:r>
      <w:r>
        <w:t xml:space="preserve">All participants will provide informed consent before participating in the study.</w:t>
      </w:r>
    </w:p>
    <w:p>
      <w:pPr>
        <w:numPr>
          <w:ilvl w:val="0"/>
          <w:numId w:val="1006"/>
        </w:numPr>
        <w:pStyle w:val="Compact"/>
      </w:pPr>
      <w:r>
        <w:rPr>
          <w:bCs/>
          <w:b/>
        </w:rPr>
        <w:t xml:space="preserve">Confidentiality:</w:t>
      </w:r>
      <w:r>
        <w:t xml:space="preserve"> </w:t>
      </w:r>
      <w:r>
        <w:t xml:space="preserve">All data collected will be anonymized to protect the identities of participants.</w:t>
      </w:r>
    </w:p>
    <w:p>
      <w:pPr>
        <w:numPr>
          <w:ilvl w:val="0"/>
          <w:numId w:val="1006"/>
        </w:numPr>
        <w:pStyle w:val="Compact"/>
      </w:pPr>
      <w:r>
        <w:rPr>
          <w:bCs/>
          <w:b/>
        </w:rPr>
        <w:t xml:space="preserve">Non-Interference:</w:t>
      </w:r>
      <w:r>
        <w:t xml:space="preserve"> </w:t>
      </w:r>
      <w:r>
        <w:t xml:space="preserve">Researchers will not interfere with the judicial process or influence judicial decisions.</w:t>
      </w:r>
    </w:p>
    <w:p>
      <w:pPr>
        <w:numPr>
          <w:ilvl w:val="0"/>
          <w:numId w:val="1006"/>
        </w:numPr>
        <w:pStyle w:val="Compact"/>
      </w:pPr>
      <w:r>
        <w:rPr>
          <w:bCs/>
          <w:b/>
        </w:rPr>
        <w:t xml:space="preserve">Compliance with Legal Standards:</w:t>
      </w:r>
      <w:r>
        <w:t xml:space="preserve"> </w:t>
      </w:r>
      <w:r>
        <w:t xml:space="preserve">The study will comply with all applicable laws and regulations, including the Illinois Supreme Court Rules and the Code of Judicial Conduct.</w:t>
      </w:r>
    </w:p>
    <w:bookmarkEnd w:id="29"/>
    <w:bookmarkStart w:id="30" w:name="data-analysis"/>
    <w:p>
      <w:pPr>
        <w:pStyle w:val="Heading2"/>
      </w:pPr>
      <w:r>
        <w:t xml:space="preserve">6. Data Analysis</w:t>
      </w:r>
    </w:p>
    <w:p>
      <w:pPr>
        <w:pStyle w:val="FirstParagraph"/>
      </w:pPr>
      <w:r>
        <w:t xml:space="preserve">Data analysis will be conducted using statistical software to identify patterns and relationships between variables. Qualitative data from observations, surveys, and interviews will be analyzed using thematic analysis to identify key themes and insights. The results will be used to draw conclusions about the factors that influence judicial decision-making in United States Chicago.</w:t>
      </w:r>
    </w:p>
    <w:bookmarkEnd w:id="30"/>
    <w:bookmarkStart w:id="31" w:name="expected-outcomes"/>
    <w:p>
      <w:pPr>
        <w:pStyle w:val="Heading2"/>
      </w:pPr>
      <w:r>
        <w:t xml:space="preserve">7. Expected Outcomes</w:t>
      </w:r>
    </w:p>
    <w:p>
      <w:pPr>
        <w:pStyle w:val="FirstParagraph"/>
      </w:pPr>
      <w:r>
        <w:t xml:space="preserve">The expected outcomes of this study include:</w:t>
      </w:r>
    </w:p>
    <w:p>
      <w:pPr>
        <w:numPr>
          <w:ilvl w:val="0"/>
          <w:numId w:val="1007"/>
        </w:numPr>
        <w:pStyle w:val="Compact"/>
      </w:pPr>
      <w:r>
        <w:t xml:space="preserve">A better understanding of the factors that influence judicial decision-making in United States Chicago.</w:t>
      </w:r>
    </w:p>
    <w:p>
      <w:pPr>
        <w:numPr>
          <w:ilvl w:val="0"/>
          <w:numId w:val="1007"/>
        </w:numPr>
        <w:pStyle w:val="Compact"/>
      </w:pPr>
      <w:r>
        <w:t xml:space="preserve">Identification of potential biases in judicial decision-making.</w:t>
      </w:r>
    </w:p>
    <w:p>
      <w:pPr>
        <w:numPr>
          <w:ilvl w:val="0"/>
          <w:numId w:val="1007"/>
        </w:numPr>
        <w:pStyle w:val="Compact"/>
      </w:pPr>
      <w:r>
        <w:t xml:space="preserve">Recommendations for improving judicial fairness and consistency.</w:t>
      </w:r>
    </w:p>
    <w:p>
      <w:pPr>
        <w:numPr>
          <w:ilvl w:val="0"/>
          <w:numId w:val="1007"/>
        </w:numPr>
        <w:pStyle w:val="Compact"/>
      </w:pPr>
      <w:r>
        <w:t xml:space="preserve">Contributions to the broader literature on judicial behavior and decision-making.</w:t>
      </w:r>
    </w:p>
    <w:bookmarkEnd w:id="31"/>
    <w:bookmarkStart w:id="32" w:name="conclusion"/>
    <w:p>
      <w:pPr>
        <w:pStyle w:val="Heading2"/>
      </w:pPr>
      <w:r>
        <w:t xml:space="preserve">8. Conclusion</w:t>
      </w:r>
    </w:p>
    <w:p>
      <w:pPr>
        <w:pStyle w:val="FirstParagraph"/>
      </w:pPr>
      <w:r>
        <w:t xml:space="preserve">This Experiment Protocol provides a comprehensive framework for studying the decision-making processes of a Judge in United States Chicago. By employing a rigorous methodology and adhering to ethical guidelines, this study aims to produce valuable insights into the judicial system and contribute to efforts to improve judicial fairness and consistency.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Judicial Decision-Making in Chicago</dc:title>
  <dc:creator/>
  <dc:language>en</dc:language>
  <cp:keywords/>
  <dcterms:created xsi:type="dcterms:W3CDTF">2026-10-10T01:06:31Z</dcterms:created>
  <dcterms:modified xsi:type="dcterms:W3CDTF">2026-10-10T01:06:31Z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