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Tashkent</w:t>
      </w:r>
    </w:p>
    <w:bookmarkStart w:id="29" w:name="Xea3286c6689a4f3ea7ee5995f2b62a539bdf02e"/>
    <w:p>
      <w:pPr>
        <w:pStyle w:val="Heading1"/>
      </w:pPr>
      <w:r>
        <w:t xml:space="preserve">Experiment Protocol: Cognitive Load and Decision Latency in Judicial Proceedings</w:t>
      </w:r>
    </w:p>
    <w:p>
      <w:pPr>
        <w:pStyle w:val="FirstParagraph"/>
      </w:pPr>
      <w:r>
        <w:rPr>
          <w:bCs/>
          <w:b/>
        </w:rPr>
        <w:t xml:space="preserve">Protocol ID:</w:t>
      </w:r>
      <w:r>
        <w:t xml:space="preserve"> </w:t>
      </w:r>
      <w:r>
        <w:t xml:space="preserve">TJ-JD-2024-001</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The Judge (Simulated and Observational)</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1.0</w:t>
      </w:r>
      <w:r>
        <w:t xml:space="preserve"> </w:t>
      </w:r>
      <w:r>
        <w:t xml:space="preserve">Introduction and Background</w:t>
      </w:r>
    </w:p>
    <w:p>
      <w:pPr>
        <w:pStyle w:val="FirstParagraph"/>
      </w:pPr>
      <w:r>
        <w:t xml:space="preserve">The legal landscape in Uzbekistan is currently undergoing significant modernization, particularly within the capital city of Tashkent. As part of the broader judicial reforms aimed at increasing transparency, efficiency, and the rule of law, it is imperative to understand the cognitive processes involved in judicial decision-making. This Experiment Protocol outlines a rigorous study designed to analyze the performance, decision latency, and accuracy of a</w:t>
      </w:r>
      <w:r>
        <w:t xml:space="preserve"> </w:t>
      </w:r>
      <w:r>
        <w:rPr>
          <w:bCs/>
          <w:b/>
        </w:rPr>
        <w:t xml:space="preserve">Judge</w:t>
      </w:r>
      <w:r>
        <w:t xml:space="preserve"> </w:t>
      </w:r>
      <w:r>
        <w:t xml:space="preserve">operating within the specific socio-legal context of</w:t>
      </w:r>
      <w:r>
        <w:t xml:space="preserve"> </w:t>
      </w:r>
      <w:r>
        <w:rPr>
          <w:bCs/>
          <w:b/>
        </w:rPr>
        <w:t xml:space="preserve">Tashkent</w:t>
      </w:r>
      <w:r>
        <w:t xml:space="preserve">.</w:t>
      </w:r>
    </w:p>
    <w:p>
      <w:pPr>
        <w:pStyle w:val="BodyText"/>
      </w:pPr>
      <w:r>
        <w:t xml:space="preserve">The term "Judge" in this protocol refers to both actual judicial officers participating in observational studies and trained legal professionals participating in simulated court proceedings. The primary objective is to quantify how information density, procedural complexity, and environmental factors in Tashkent's courtrooms influence the quality of justice delivered.</w:t>
      </w:r>
    </w:p>
    <w:bookmarkEnd w:id="20"/>
    <w:bookmarkStart w:id="21" w:name="objectives"/>
    <w:p>
      <w:pPr>
        <w:pStyle w:val="Heading2"/>
      </w:pPr>
      <w:r>
        <w:t xml:space="preserve">2.0</w:t>
      </w:r>
      <w:r>
        <w:t xml:space="preserve"> </w:t>
      </w:r>
      <w:r>
        <w:t xml:space="preserve">Objectives</w:t>
      </w:r>
    </w:p>
    <w:p>
      <w:pPr>
        <w:pStyle w:val="FirstParagraph"/>
      </w:pPr>
      <w:r>
        <w:t xml:space="preserve">The primary objectives of this experiment are as follows:</w:t>
      </w:r>
    </w:p>
    <w:p>
      <w:pPr>
        <w:numPr>
          <w:ilvl w:val="0"/>
          <w:numId w:val="1001"/>
        </w:numPr>
        <w:pStyle w:val="Compact"/>
      </w:pPr>
      <w:r>
        <w:t xml:space="preserve">To measure the average time taken by a</w:t>
      </w:r>
      <w:r>
        <w:t xml:space="preserve"> </w:t>
      </w:r>
      <w:r>
        <w:rPr>
          <w:bCs/>
          <w:b/>
        </w:rPr>
        <w:t xml:space="preserve">Judge</w:t>
      </w:r>
      <w:r>
        <w:t xml:space="preserve"> </w:t>
      </w:r>
      <w:r>
        <w:t xml:space="preserve">to render a verdict in civil and minor criminal cases within the</w:t>
      </w:r>
      <w:r>
        <w:t xml:space="preserve"> </w:t>
      </w:r>
      <w:r>
        <w:rPr>
          <w:bCs/>
          <w:b/>
        </w:rPr>
        <w:t xml:space="preserve">Tashkent</w:t>
      </w:r>
      <w:r>
        <w:t xml:space="preserve"> </w:t>
      </w:r>
      <w:r>
        <w:t xml:space="preserve">city courts.</w:t>
      </w:r>
    </w:p>
    <w:p>
      <w:pPr>
        <w:numPr>
          <w:ilvl w:val="0"/>
          <w:numId w:val="1001"/>
        </w:numPr>
        <w:pStyle w:val="Compact"/>
      </w:pPr>
      <w:r>
        <w:t xml:space="preserve">To assess the correlation between the volume of case files and the consistency of legal reasoning provided by the</w:t>
      </w:r>
      <w:r>
        <w:t xml:space="preserve"> </w:t>
      </w:r>
      <w:r>
        <w:rPr>
          <w:bCs/>
          <w:b/>
        </w:rPr>
        <w:t xml:space="preserve">Judge</w:t>
      </w:r>
      <w:r>
        <w:t xml:space="preserve">.</w:t>
      </w:r>
    </w:p>
    <w:p>
      <w:pPr>
        <w:numPr>
          <w:ilvl w:val="0"/>
          <w:numId w:val="1001"/>
        </w:numPr>
        <w:pStyle w:val="Compact"/>
      </w:pPr>
      <w:r>
        <w:t xml:space="preserve">To evaluate the impact of digital case management systems, recently implemented in</w:t>
      </w:r>
      <w:r>
        <w:t xml:space="preserve"> </w:t>
      </w:r>
      <w:r>
        <w:rPr>
          <w:bCs/>
          <w:b/>
        </w:rPr>
        <w:t xml:space="preserve">Tashkent</w:t>
      </w:r>
      <w:r>
        <w:t xml:space="preserve">, on the efficiency of the</w:t>
      </w:r>
      <w:r>
        <w:t xml:space="preserve"> </w:t>
      </w:r>
      <w:r>
        <w:rPr>
          <w:bCs/>
          <w:b/>
        </w:rPr>
        <w:t xml:space="preserve">Judge</w:t>
      </w:r>
      <w:r>
        <w:t xml:space="preserve">.</w:t>
      </w:r>
    </w:p>
    <w:p>
      <w:pPr>
        <w:numPr>
          <w:ilvl w:val="0"/>
          <w:numId w:val="1001"/>
        </w:numPr>
        <w:pStyle w:val="Compact"/>
      </w:pPr>
      <w:r>
        <w:t xml:space="preserve">To identify potential cognitive biases that may arise during high-pressure proceedings in the local jurisdiction.</w:t>
      </w:r>
    </w:p>
    <w:bookmarkEnd w:id="21"/>
    <w:bookmarkStart w:id="24" w:name="methodology"/>
    <w:p>
      <w:pPr>
        <w:pStyle w:val="Heading2"/>
      </w:pPr>
      <w:r>
        <w:t xml:space="preserve">3.0</w:t>
      </w:r>
      <w:r>
        <w:t xml:space="preserve"> </w:t>
      </w:r>
      <w:r>
        <w:t xml:space="preserve">Methodology</w:t>
      </w:r>
    </w:p>
    <w:p>
      <w:pPr>
        <w:pStyle w:val="FirstParagraph"/>
      </w:pPr>
      <w:r>
        <w:t xml:space="preserve">This experiment will utilize a mixed-methods approach, combining quantitative data analysis with qualitative observational studies. The study is divided into two distinct phases: Simulation and Observation.</w:t>
      </w:r>
    </w:p>
    <w:bookmarkStart w:id="22" w:name="phase-i-controlled-simulation"/>
    <w:p>
      <w:pPr>
        <w:pStyle w:val="Heading3"/>
      </w:pPr>
      <w:r>
        <w:t xml:space="preserve">3.1 Phase I: Controlled Simulation</w:t>
      </w:r>
    </w:p>
    <w:p>
      <w:pPr>
        <w:pStyle w:val="FirstParagraph"/>
      </w:pPr>
      <w:r>
        <w:t xml:space="preserve">In this phase, a group of 20 experienced legal professionals, acting as the</w:t>
      </w:r>
      <w:r>
        <w:t xml:space="preserve"> </w:t>
      </w:r>
      <w:r>
        <w:rPr>
          <w:bCs/>
          <w:b/>
        </w:rPr>
        <w:t xml:space="preserve">Judge</w:t>
      </w:r>
      <w:r>
        <w:t xml:space="preserve">, will participate in mock trials. These simulations will be conducted in a controlled environment designed to replicate the standard courtroom layout found in</w:t>
      </w:r>
      <w:r>
        <w:t xml:space="preserve"> </w:t>
      </w:r>
      <w:r>
        <w:rPr>
          <w:bCs/>
          <w:b/>
        </w:rPr>
        <w:t xml:space="preserve">Tashkent</w:t>
      </w:r>
      <w:r>
        <w:t xml:space="preserve">.</w:t>
      </w:r>
    </w:p>
    <w:p>
      <w:pPr>
        <w:pStyle w:val="BodyText"/>
      </w:pPr>
      <w:r>
        <w:t xml:space="preserve">The cases presented will be standardized scenarios based on common disputes in Uzbekistan, such as property rights, labor disputes, and minor traffic violations. Each</w:t>
      </w:r>
      <w:r>
        <w:t xml:space="preserve"> </w:t>
      </w:r>
      <w:r>
        <w:rPr>
          <w:bCs/>
          <w:b/>
        </w:rPr>
        <w:t xml:space="preserve">Judge</w:t>
      </w:r>
      <w:r>
        <w:t xml:space="preserve"> </w:t>
      </w:r>
      <w:r>
        <w:t xml:space="preserve">will be presented with varying levels of evidence complexity. We will record:</w:t>
      </w:r>
    </w:p>
    <w:p>
      <w:pPr>
        <w:numPr>
          <w:ilvl w:val="0"/>
          <w:numId w:val="1002"/>
        </w:numPr>
        <w:pStyle w:val="Compact"/>
      </w:pPr>
      <w:r>
        <w:rPr>
          <w:bCs/>
          <w:b/>
        </w:rPr>
        <w:t xml:space="preserve">Decision Latency:</w:t>
      </w:r>
      <w:r>
        <w:t xml:space="preserve"> </w:t>
      </w:r>
      <w:r>
        <w:t xml:space="preserve">The time elapsed from the closing of arguments to the written verdict.</w:t>
      </w:r>
    </w:p>
    <w:p>
      <w:pPr>
        <w:numPr>
          <w:ilvl w:val="0"/>
          <w:numId w:val="1002"/>
        </w:numPr>
        <w:pStyle w:val="Compact"/>
      </w:pPr>
      <w:r>
        <w:rPr>
          <w:bCs/>
          <w:b/>
        </w:rPr>
        <w:t xml:space="preserve">Accuracy Rate:</w:t>
      </w:r>
      <w:r>
        <w:t xml:space="preserve"> </w:t>
      </w:r>
      <w:r>
        <w:t xml:space="preserve">Comparison of the</w:t>
      </w:r>
      <w:r>
        <w:t xml:space="preserve"> </w:t>
      </w:r>
      <w:r>
        <w:rPr>
          <w:bCs/>
          <w:b/>
        </w:rPr>
        <w:t xml:space="preserve">Judge</w:t>
      </w:r>
      <w:r>
        <w:t xml:space="preserve">'s decision against a "gold standard" ruling provided by a panel of senior jurists.</w:t>
      </w:r>
    </w:p>
    <w:p>
      <w:pPr>
        <w:numPr>
          <w:ilvl w:val="0"/>
          <w:numId w:val="1002"/>
        </w:numPr>
        <w:pStyle w:val="Compact"/>
      </w:pPr>
      <w:r>
        <w:rPr>
          <w:bCs/>
          <w:b/>
        </w:rPr>
        <w:t xml:space="preserve">Resource Utilization:</w:t>
      </w:r>
      <w:r>
        <w:t xml:space="preserve"> </w:t>
      </w:r>
      <w:r>
        <w:t xml:space="preserve">How frequently the</w:t>
      </w:r>
      <w:r>
        <w:t xml:space="preserve"> </w:t>
      </w:r>
      <w:r>
        <w:rPr>
          <w:bCs/>
          <w:b/>
        </w:rPr>
        <w:t xml:space="preserve">Judge</w:t>
      </w:r>
      <w:r>
        <w:t xml:space="preserve"> </w:t>
      </w:r>
      <w:r>
        <w:t xml:space="preserve">refers to specific articles of the Civil or Criminal Code of Uzbekistan.</w:t>
      </w:r>
    </w:p>
    <w:bookmarkEnd w:id="22"/>
    <w:bookmarkStart w:id="23" w:name="phase-ii-field-observation-in-tashkent"/>
    <w:p>
      <w:pPr>
        <w:pStyle w:val="Heading3"/>
      </w:pPr>
      <w:r>
        <w:t xml:space="preserve">3.2 Phase II: Field Observation in Tashkent</w:t>
      </w:r>
    </w:p>
    <w:p>
      <w:pPr>
        <w:pStyle w:val="FirstParagraph"/>
      </w:pPr>
      <w:r>
        <w:t xml:space="preserve">The second phase involves non-intrusive observation of actual court proceedings in selected districts of</w:t>
      </w:r>
      <w:r>
        <w:t xml:space="preserve"> </w:t>
      </w:r>
      <w:r>
        <w:rPr>
          <w:bCs/>
          <w:b/>
        </w:rPr>
        <w:t xml:space="preserve">Tashkent</w:t>
      </w:r>
      <w:r>
        <w:t xml:space="preserve">. With the necessary permissions from the Supreme Court of Uzbekistan, researchers will observe sessions where the</w:t>
      </w:r>
      <w:r>
        <w:t xml:space="preserve"> </w:t>
      </w:r>
      <w:r>
        <w:rPr>
          <w:bCs/>
          <w:b/>
        </w:rPr>
        <w:t xml:space="preserve">Judge</w:t>
      </w:r>
      <w:r>
        <w:t xml:space="preserve"> </w:t>
      </w:r>
      <w:r>
        <w:t xml:space="preserve">is presiding over open cases.</w:t>
      </w:r>
    </w:p>
    <w:p>
      <w:pPr>
        <w:pStyle w:val="BodyText"/>
      </w:pPr>
      <w:r>
        <w:t xml:space="preserve">Data collection will focus on the interaction between the</w:t>
      </w:r>
      <w:r>
        <w:t xml:space="preserve"> </w:t>
      </w:r>
      <w:r>
        <w:rPr>
          <w:bCs/>
          <w:b/>
        </w:rPr>
        <w:t xml:space="preserve">Judge</w:t>
      </w:r>
      <w:r>
        <w:t xml:space="preserve"> </w:t>
      </w:r>
      <w:r>
        <w:t xml:space="preserve">and the litigants. Special attention will be paid to the language used (Uzbek vs. Russian) and how linguistic nuances might affect the</w:t>
      </w:r>
      <w:r>
        <w:t xml:space="preserve"> </w:t>
      </w:r>
      <w:r>
        <w:rPr>
          <w:bCs/>
          <w:b/>
        </w:rPr>
        <w:t xml:space="preserve">Judge</w:t>
      </w:r>
      <w:r>
        <w:t xml:space="preserve">'s interpretation of testimony. This is particularly relevant in</w:t>
      </w:r>
      <w:r>
        <w:t xml:space="preserve"> </w:t>
      </w:r>
      <w:r>
        <w:rPr>
          <w:bCs/>
          <w:b/>
        </w:rPr>
        <w:t xml:space="preserve">Tashkent</w:t>
      </w:r>
      <w:r>
        <w:t xml:space="preserve">, a multilingual hub.</w:t>
      </w:r>
    </w:p>
    <w:bookmarkEnd w:id="23"/>
    <w:bookmarkEnd w:id="24"/>
    <w:bookmarkStart w:id="25" w:name="variables-and-metrics"/>
    <w:p>
      <w:pPr>
        <w:pStyle w:val="Heading2"/>
      </w:pPr>
      <w:r>
        <w:t xml:space="preserve">4.0</w:t>
      </w:r>
      <w:r>
        <w:t xml:space="preserve"> </w:t>
      </w:r>
      <w:r>
        <w:t xml:space="preserve">Variables and Metrics</w:t>
      </w:r>
    </w:p>
    <w:p>
      <w:pPr>
        <w:pStyle w:val="FirstParagraph"/>
      </w:pPr>
      <w:r>
        <w:t xml:space="preserve">To ensure scientific validity, the following variables will be strictly controlled and measured: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Independent</w:t>
            </w:r>
          </w:p>
        </w:tc>
        <w:tc>
          <w:tcPr/>
          <w:p>
            <w:pPr>
              <w:pStyle w:val="Compact"/>
              <w:jc w:val="left"/>
            </w:pPr>
            <w:r>
              <w:t xml:space="preserve">Case Complexity Level (Low, Medium, High)</w:t>
            </w:r>
          </w:p>
        </w:tc>
        <w:tc>
          <w:tcPr/>
          <w:p>
            <w:pPr>
              <w:pStyle w:val="Compact"/>
              <w:jc w:val="left"/>
            </w:pPr>
            <w:r>
              <w:t xml:space="preserve">Categorical</w:t>
            </w:r>
          </w:p>
        </w:tc>
      </w:tr>
      <w:tr>
        <w:tc>
          <w:tcPr/>
          <w:p>
            <w:pPr>
              <w:pStyle w:val="Compact"/>
              <w:jc w:val="left"/>
            </w:pPr>
            <w:r>
              <w:t xml:space="preserve">Independent</w:t>
            </w:r>
          </w:p>
        </w:tc>
        <w:tc>
          <w:tcPr/>
          <w:p>
            <w:pPr>
              <w:pStyle w:val="Compact"/>
              <w:jc w:val="left"/>
            </w:pPr>
            <w:r>
              <w:t xml:space="preserve">Time of Day (Morning vs. Afternoon sessions)</w:t>
            </w:r>
          </w:p>
        </w:tc>
        <w:tc>
          <w:tcPr/>
          <w:p>
            <w:pPr>
              <w:pStyle w:val="Compact"/>
              <w:jc w:val="left"/>
            </w:pPr>
            <w:r>
              <w:t xml:space="preserve">Time Slot</w:t>
            </w:r>
          </w:p>
        </w:tc>
      </w:tr>
      <w:tr>
        <w:tc>
          <w:tcPr/>
          <w:p>
            <w:pPr>
              <w:pStyle w:val="Compact"/>
              <w:jc w:val="left"/>
            </w:pPr>
            <w:r>
              <w:t xml:space="preserve">Dependent</w:t>
            </w:r>
          </w:p>
        </w:tc>
        <w:tc>
          <w:tcPr/>
          <w:p>
            <w:pPr>
              <w:pStyle w:val="Compact"/>
              <w:jc w:val="left"/>
            </w:pPr>
            <w:r>
              <w:t xml:space="preserve">Judge's Decision Time</w:t>
            </w:r>
          </w:p>
        </w:tc>
        <w:tc>
          <w:tcPr/>
          <w:p>
            <w:pPr>
              <w:pStyle w:val="Compact"/>
              <w:jc w:val="left"/>
            </w:pPr>
            <w:r>
              <w:t xml:space="preserve">Minutes</w:t>
            </w:r>
          </w:p>
        </w:tc>
      </w:tr>
      <w:tr>
        <w:tc>
          <w:tcPr/>
          <w:p>
            <w:pPr>
              <w:pStyle w:val="Compact"/>
              <w:jc w:val="left"/>
            </w:pPr>
            <w:r>
              <w:t xml:space="preserve">Dependent</w:t>
            </w:r>
          </w:p>
        </w:tc>
        <w:tc>
          <w:tcPr/>
          <w:p>
            <w:pPr>
              <w:pStyle w:val="Compact"/>
              <w:jc w:val="left"/>
            </w:pPr>
            <w:r>
              <w:t xml:space="preserve">Verdict Consistency Score</w:t>
            </w:r>
          </w:p>
        </w:tc>
        <w:tc>
          <w:tcPr/>
          <w:p>
            <w:pPr>
              <w:pStyle w:val="Compact"/>
              <w:jc w:val="left"/>
            </w:pPr>
            <w:r>
              <w:t xml:space="preserve">Scale of 1-10</w:t>
            </w:r>
          </w:p>
        </w:tc>
      </w:tr>
      <w:tr>
        <w:tc>
          <w:tcPr/>
          <w:p>
            <w:pPr>
              <w:pStyle w:val="Compact"/>
              <w:jc w:val="left"/>
            </w:pPr>
            <w:r>
              <w:t xml:space="preserve">Control</w:t>
            </w:r>
          </w:p>
        </w:tc>
        <w:tc>
          <w:tcPr/>
          <w:p>
            <w:pPr>
              <w:pStyle w:val="Compact"/>
              <w:jc w:val="left"/>
            </w:pPr>
            <w:r>
              <w:t xml:space="preserve">Legal Framework</w:t>
            </w:r>
          </w:p>
        </w:tc>
        <w:tc>
          <w:tcPr/>
          <w:p>
            <w:pPr>
              <w:pStyle w:val="Compact"/>
              <w:jc w:val="left"/>
            </w:pPr>
            <w:r>
              <w:t xml:space="preserve">Laws of Uzbekistan</w:t>
            </w:r>
          </w:p>
        </w:tc>
      </w:tr>
    </w:tbl>
    <w:bookmarkEnd w:id="25"/>
    <w:bookmarkStart w:id="26" w:name="ethical-considerations-and-compliance"/>
    <w:p>
      <w:pPr>
        <w:pStyle w:val="Heading2"/>
      </w:pPr>
      <w:r>
        <w:t xml:space="preserve">5.0</w:t>
      </w:r>
      <w:r>
        <w:t xml:space="preserve"> </w:t>
      </w:r>
      <w:r>
        <w:t xml:space="preserve">Ethical Considerations and Compliance</w:t>
      </w:r>
    </w:p>
    <w:p>
      <w:pPr>
        <w:pStyle w:val="FirstParagraph"/>
      </w:pPr>
      <w:r>
        <w:t xml:space="preserve">This Experiment Protocol adheres strictly to the ethical guidelines for social science research and the judicial regulations of Uzbekistan.</w:t>
      </w:r>
    </w:p>
    <w:p>
      <w:pPr>
        <w:numPr>
          <w:ilvl w:val="0"/>
          <w:numId w:val="1003"/>
        </w:numPr>
        <w:pStyle w:val="Compact"/>
      </w:pPr>
      <w:r>
        <w:rPr>
          <w:bCs/>
          <w:b/>
        </w:rPr>
        <w:t xml:space="preserve">Confidentiality:</w:t>
      </w:r>
      <w:r>
        <w:t xml:space="preserve"> </w:t>
      </w:r>
      <w:r>
        <w:t xml:space="preserve">All data regarding the</w:t>
      </w:r>
      <w:r>
        <w:t xml:space="preserve"> </w:t>
      </w:r>
      <w:r>
        <w:rPr>
          <w:bCs/>
          <w:b/>
        </w:rPr>
        <w:t xml:space="preserve">Judge</w:t>
      </w:r>
      <w:r>
        <w:t xml:space="preserve"> </w:t>
      </w:r>
      <w:r>
        <w:t xml:space="preserve">and the litigants will be anonymized. No personal identifiers will be published.</w:t>
      </w:r>
    </w:p>
    <w:p>
      <w:pPr>
        <w:numPr>
          <w:ilvl w:val="0"/>
          <w:numId w:val="1003"/>
        </w:numPr>
        <w:pStyle w:val="Compact"/>
      </w:pPr>
      <w:r>
        <w:rPr>
          <w:bCs/>
          <w:b/>
        </w:rPr>
        <w:t xml:space="preserve">Non-Interference:</w:t>
      </w:r>
      <w:r>
        <w:t xml:space="preserve"> </w:t>
      </w:r>
      <w:r>
        <w:t xml:space="preserve">In the observational phase, researchers will not interact with the</w:t>
      </w:r>
      <w:r>
        <w:t xml:space="preserve"> </w:t>
      </w:r>
      <w:r>
        <w:rPr>
          <w:bCs/>
          <w:b/>
        </w:rPr>
        <w:t xml:space="preserve">Judge</w:t>
      </w:r>
      <w:r>
        <w:t xml:space="preserve"> </w:t>
      </w:r>
      <w:r>
        <w:t xml:space="preserve">or influence the proceedings in any way.</w:t>
      </w:r>
    </w:p>
    <w:p>
      <w:pPr>
        <w:numPr>
          <w:ilvl w:val="0"/>
          <w:numId w:val="1003"/>
        </w:numPr>
        <w:pStyle w:val="Compact"/>
      </w:pPr>
      <w:r>
        <w:rPr>
          <w:bCs/>
          <w:b/>
        </w:rPr>
        <w:t xml:space="preserve">Informed Consent:</w:t>
      </w:r>
      <w:r>
        <w:t xml:space="preserve"> </w:t>
      </w:r>
      <w:r>
        <w:t xml:space="preserve">All participants in the simulation phase will provide written informed consent.</w:t>
      </w:r>
    </w:p>
    <w:p>
      <w:pPr>
        <w:numPr>
          <w:ilvl w:val="0"/>
          <w:numId w:val="1003"/>
        </w:numPr>
        <w:pStyle w:val="Compact"/>
      </w:pPr>
      <w:r>
        <w:rPr>
          <w:bCs/>
          <w:b/>
        </w:rPr>
        <w:t xml:space="preserve">Regulatory Approval:</w:t>
      </w:r>
      <w:r>
        <w:t xml:space="preserve"> </w:t>
      </w:r>
      <w:r>
        <w:t xml:space="preserve">This protocol has been drafted in alignment with the requirements of the Ministry of Justice of the Republic of Uzbekistan.</w:t>
      </w:r>
    </w:p>
    <w:bookmarkEnd w:id="26"/>
    <w:bookmarkStart w:id="27" w:name="data-analysis-plan"/>
    <w:p>
      <w:pPr>
        <w:pStyle w:val="Heading2"/>
      </w:pPr>
      <w:r>
        <w:t xml:space="preserve">6.0</w:t>
      </w:r>
      <w:r>
        <w:t xml:space="preserve"> </w:t>
      </w:r>
      <w:r>
        <w:t xml:space="preserve">Data Analysis Plan</w:t>
      </w:r>
    </w:p>
    <w:p>
      <w:pPr>
        <w:pStyle w:val="FirstParagraph"/>
      </w:pPr>
      <w:r>
        <w:t xml:space="preserve">Collected data will be analyzed using statistical software. We will employ regression analysis to determine the relationship between case complexity and the</w:t>
      </w:r>
      <w:r>
        <w:t xml:space="preserve"> </w:t>
      </w:r>
      <w:r>
        <w:rPr>
          <w:bCs/>
          <w:b/>
        </w:rPr>
        <w:t xml:space="preserve">Judge</w:t>
      </w:r>
      <w:r>
        <w:t xml:space="preserve">'s decision time. Furthermore, qualitative data from courtroom transcripts in</w:t>
      </w:r>
      <w:r>
        <w:t xml:space="preserve"> </w:t>
      </w:r>
      <w:r>
        <w:rPr>
          <w:bCs/>
          <w:b/>
        </w:rPr>
        <w:t xml:space="preserve">Tashkent</w:t>
      </w:r>
      <w:r>
        <w:t xml:space="preserve"> </w:t>
      </w:r>
      <w:r>
        <w:t xml:space="preserve">will be coded to identify patterns in judicial rhetoric and procedural adherence.</w:t>
      </w:r>
    </w:p>
    <w:p>
      <w:pPr>
        <w:pStyle w:val="BodyText"/>
      </w:pPr>
      <w:r>
        <w:t xml:space="preserve">The goal is to produce a comprehensive report that offers actionable recommendations for improving judicial training and court management systems in</w:t>
      </w:r>
      <w:r>
        <w:t xml:space="preserve"> </w:t>
      </w:r>
      <w:r>
        <w:rPr>
          <w:bCs/>
          <w:b/>
        </w:rPr>
        <w:t xml:space="preserve">Tashkent</w:t>
      </w:r>
      <w:r>
        <w:t xml:space="preserve">.</w:t>
      </w:r>
    </w:p>
    <w:bookmarkEnd w:id="27"/>
    <w:bookmarkStart w:id="28" w:name="conclusion"/>
    <w:p>
      <w:pPr>
        <w:pStyle w:val="Heading2"/>
      </w:pPr>
      <w:r>
        <w:t xml:space="preserve">7.0</w:t>
      </w:r>
      <w:r>
        <w:t xml:space="preserve"> </w:t>
      </w:r>
      <w:r>
        <w:t xml:space="preserve">Conclusion</w:t>
      </w:r>
    </w:p>
    <w:p>
      <w:pPr>
        <w:pStyle w:val="FirstParagraph"/>
      </w:pPr>
      <w:r>
        <w:t xml:space="preserve">This Experiment Protocol provides a structured framework for investigating the critical role of the</w:t>
      </w:r>
      <w:r>
        <w:t xml:space="preserve"> </w:t>
      </w:r>
      <w:r>
        <w:rPr>
          <w:bCs/>
          <w:b/>
        </w:rPr>
        <w:t xml:space="preserve">Judge</w:t>
      </w:r>
      <w:r>
        <w:t xml:space="preserve"> </w:t>
      </w:r>
      <w:r>
        <w:t xml:space="preserve">within the modernizing legal system of</w:t>
      </w:r>
      <w:r>
        <w:t xml:space="preserve"> </w:t>
      </w:r>
      <w:r>
        <w:rPr>
          <w:bCs/>
          <w:b/>
        </w:rPr>
        <w:t xml:space="preserve">Tashkent</w:t>
      </w:r>
      <w:r>
        <w:t xml:space="preserve">. By rigorously analyzing decision-making processes, we aim to contribute to the broader goal of establishing a fair, efficient, and transparent judiciary in Uzbekistan. The insights gained will be invaluable for policymakers and legal educators seeking to optimize the administration of justice.</w:t>
      </w:r>
    </w:p>
    <w:p>
      <w:pPr>
        <w:pStyle w:val="BodyText"/>
      </w:pPr>
      <w:r>
        <w:t xml:space="preserve">© 2024 Judicial Research Institute. All rights reserved.</w:t>
      </w:r>
      <w:r>
        <w:br/>
      </w:r>
      <w:r>
        <w:t xml:space="preserve">Document prepared for internal review and academic 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Tashkent</dc:title>
  <dc:creator/>
  <dc:language>en</dc:language>
  <cp:keywords/>
  <dcterms:created xsi:type="dcterms:W3CDTF">2026-10-10T09:10:18Z</dcterms:created>
  <dcterms:modified xsi:type="dcterms:W3CDTF">2026-10-10T09:10:18Z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