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Legal</w:t>
      </w:r>
      <w:r>
        <w:t xml:space="preserve"> </w:t>
      </w:r>
      <w:r>
        <w:t xml:space="preserve">Service</w:t>
      </w:r>
      <w:r>
        <w:t xml:space="preserve"> </w:t>
      </w:r>
      <w:r>
        <w:t xml:space="preserve">Efficiency</w:t>
      </w:r>
      <w:r>
        <w:t xml:space="preserve"> </w:t>
      </w:r>
      <w:r>
        <w:t xml:space="preserve">in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X9f5f9269c6328133b3c22f87de6192e529cc595"/>
    <w:p>
      <w:pPr>
        <w:pStyle w:val="Heading1"/>
      </w:pPr>
      <w:r>
        <w:t xml:space="preserve">Experiment Protocol: Comparative Analysis of Legal Service Delivery Models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BA-LEGAL-EXP-2024-001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The Lawyer (Abogado) and Client Interaction Efficiency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legal landscape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is characterized by a complex civil law system, high litigation rates, and a traditional reliance on in-person interactions between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and the client. While digital transformation is occurring globally, the adoption of technology within the local legal profession remains uneven.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quantify the efficiency, cost-effectiveness, and client satisfaction levels of traditional legal service delivery versus a hybrid digital model within the jurisdiction of Buenos Aires.</w:t>
      </w:r>
    </w:p>
    <w:p>
      <w:pPr>
        <w:pStyle w:val="BodyText"/>
      </w:pPr>
      <w:r>
        <w:t xml:space="preserve">The primary objective is to determine if a structured digital workflow can reduce the time-to-resolution for standard civil matters without compromising the quality of legal representation provided by the</w:t>
      </w:r>
      <w:r>
        <w:t xml:space="preserve"> </w:t>
      </w:r>
      <w:r>
        <w:rPr>
          <w:bCs/>
          <w:b/>
        </w:rPr>
        <w:t xml:space="preserve">Lawyer</w:t>
      </w:r>
      <w:r>
        <w:t xml:space="preserve">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measure the average time spent by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on administrative tasks versus billable legal work in Buenos Aires.</w:t>
      </w:r>
    </w:p>
    <w:p>
      <w:pPr>
        <w:numPr>
          <w:ilvl w:val="0"/>
          <w:numId w:val="1001"/>
        </w:numPr>
        <w:pStyle w:val="Compact"/>
      </w:pPr>
      <w:r>
        <w:t xml:space="preserve">To evaluate client satisfaction scores regarding communication frequency and clarity.</w:t>
      </w:r>
    </w:p>
    <w:p>
      <w:pPr>
        <w:numPr>
          <w:ilvl w:val="0"/>
          <w:numId w:val="1001"/>
        </w:numPr>
        <w:pStyle w:val="Compact"/>
      </w:pPr>
      <w:r>
        <w:t xml:space="preserve">To assess the accuracy of legal filings submitted via digital platforms compared to traditional manual methods.</w:t>
      </w:r>
    </w:p>
    <w:p>
      <w:pPr>
        <w:numPr>
          <w:ilvl w:val="0"/>
          <w:numId w:val="1001"/>
        </w:numPr>
        <w:pStyle w:val="Compact"/>
      </w:pPr>
      <w:r>
        <w:t xml:space="preserve">To analyze the cost implications for clients in both experimental groups.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bookmarkStart w:id="22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will utilize a randomized controlled trial (RCT) design. Participants will be recruited from the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metropolitan area. The study will focus on three specific legal domains common in the region: family law (divorce without children), labor law (termination disputes), and civil law (debt collection).</w:t>
      </w:r>
    </w:p>
    <w:bookmarkEnd w:id="22"/>
    <w:bookmarkStart w:id="23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rPr>
          <w:bCs/>
          <w:b/>
        </w:rPr>
        <w:t xml:space="preserve">Lawyers:</w:t>
      </w:r>
      <w:r>
        <w:t xml:space="preserve"> </w:t>
      </w:r>
      <w:r>
        <w:t xml:space="preserve">A total of 40 licensed attorneys registered with the</w:t>
      </w:r>
      <w:r>
        <w:t xml:space="preserve"> </w:t>
      </w:r>
      <w:r>
        <w:rPr>
          <w:iCs/>
          <w:i/>
        </w:rPr>
        <w:t xml:space="preserve">Colegio de Abogados de la Ciudad Autónoma de Buenos Aires</w:t>
      </w:r>
      <w:r>
        <w:t xml:space="preserve"> </w:t>
      </w:r>
      <w:r>
        <w:t xml:space="preserve">will participate. They will be randomly assigned to two groups: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 (Traditional):</w:t>
      </w:r>
      <w:r>
        <w:t xml:space="preserve"> </w:t>
      </w:r>
      <w:r>
        <w:t xml:space="preserve">20 Lawyers utilizing standard office-based practices, physical file management, and in-person or telephone consultations.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Experimental Group (Hybrid):</w:t>
      </w:r>
      <w:r>
        <w:t xml:space="preserve"> </w:t>
      </w:r>
      <w:r>
        <w:t xml:space="preserve">20 Lawyers utilizing a provided secure legal tech stack, including cloud-based case management, video conferencing, and electronic signature integration.</w:t>
      </w:r>
    </w:p>
    <w:bookmarkEnd w:id="23"/>
    <w:bookmarkStart w:id="24" w:name="client-selection"/>
    <w:p>
      <w:pPr>
        <w:pStyle w:val="Heading3"/>
      </w:pPr>
      <w:r>
        <w:t xml:space="preserve">3.3 Client Selection</w:t>
      </w:r>
    </w:p>
    <w:p>
      <w:pPr>
        <w:pStyle w:val="FirstParagraph"/>
      </w:pPr>
      <w:r>
        <w:t xml:space="preserve">Clients will be recruited through legal aid clinics and private referrals in Buenos Aires. To ensure validity, cases must be of similar complexity. A total of 200 cases will be processed over a six-month period.</w:t>
      </w:r>
    </w:p>
    <w:bookmarkEnd w:id="24"/>
    <w:bookmarkEnd w:id="25"/>
    <w:bookmarkStart w:id="29" w:name="procedures"/>
    <w:p>
      <w:pPr>
        <w:pStyle w:val="Heading2"/>
      </w:pPr>
      <w:r>
        <w:t xml:space="preserve">4. Procedures</w:t>
      </w:r>
    </w:p>
    <w:bookmarkStart w:id="26" w:name="phase-1-baseline-assessment"/>
    <w:p>
      <w:pPr>
        <w:pStyle w:val="Heading3"/>
      </w:pPr>
      <w:r>
        <w:t xml:space="preserve">4.1 Phase 1: Baseline Assessment</w:t>
      </w:r>
    </w:p>
    <w:p>
      <w:pPr>
        <w:pStyle w:val="FirstParagraph"/>
      </w:pPr>
      <w:r>
        <w:t xml:space="preserve">Before the experiment begins, all participating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subjects will undergo a baseline assessment to document their current workflow metrics. This includes time-tracking logs for one week to establish a control baseline for administrative overhead.</w:t>
      </w:r>
    </w:p>
    <w:bookmarkEnd w:id="26"/>
    <w:bookmarkStart w:id="27" w:name="phase-2-intervention"/>
    <w:p>
      <w:pPr>
        <w:pStyle w:val="Heading3"/>
      </w:pPr>
      <w:r>
        <w:t xml:space="preserve">4.2 Phase 2: Intervention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dictates that the Experimental Group will receive training on the digital tools. The Control Group will continue their standard operations. Both groups will handle cases within the jurisdiction of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adhering to local procedural codes.</w:t>
      </w:r>
    </w:p>
    <w:p>
      <w:pPr>
        <w:pStyle w:val="BodyText"/>
      </w:pPr>
      <w:r>
        <w:t xml:space="preserve">Key variables to be monitored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Response Time:</w:t>
      </w:r>
      <w:r>
        <w:t xml:space="preserve"> </w:t>
      </w:r>
      <w:r>
        <w:t xml:space="preserve">Time elapsed between client inquiry and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response.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Document Turnaround:</w:t>
      </w:r>
      <w:r>
        <w:t xml:space="preserve"> </w:t>
      </w:r>
      <w:r>
        <w:t xml:space="preserve">Time taken to draft and file legal motions.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Meeting Frequency:</w:t>
      </w:r>
      <w:r>
        <w:t xml:space="preserve"> </w:t>
      </w:r>
      <w:r>
        <w:t xml:space="preserve">Number of physical vs. virtual meetings.</w:t>
      </w:r>
    </w:p>
    <w:bookmarkEnd w:id="27"/>
    <w:bookmarkStart w:id="28" w:name="phase-3-data-collection"/>
    <w:p>
      <w:pPr>
        <w:pStyle w:val="Heading3"/>
      </w:pPr>
      <w:r>
        <w:t xml:space="preserve">4.3 Phase 3: Data Collection</w:t>
      </w:r>
    </w:p>
    <w:p>
      <w:pPr>
        <w:pStyle w:val="FirstParagraph"/>
      </w:pPr>
      <w:r>
        <w:t xml:space="preserve">Data will be collected bi-weekly. Clients will complete standardized surveys regarding their experience. The surveys will be translated into Spanish to ensure comprehension, as the target demographic resides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bookmarkEnd w:id="28"/>
    <w:bookmarkEnd w:id="29"/>
    <w:bookmarkStart w:id="30" w:name="data-analysis"/>
    <w:p>
      <w:pPr>
        <w:pStyle w:val="Heading2"/>
      </w:pPr>
      <w:r>
        <w:t xml:space="preserve">5. Data Analysis</w:t>
      </w:r>
    </w:p>
    <w:p>
      <w:pPr>
        <w:pStyle w:val="FirstParagraph"/>
      </w:pPr>
      <w:r>
        <w:t xml:space="preserve">Quantitative data will be analyzed using statistical software to compare means between the Control and Experimental groups. We will look for statistically significant differences (p &lt; 0.05) in efficiency metrics. Qualitative data from client interviews will be coded to identify themes related to trust, accessibility, and perceived professionalism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.</w:t>
      </w:r>
    </w:p>
    <w:bookmarkEnd w:id="30"/>
    <w:bookmarkStart w:id="31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strictly adheres to the ethical guidelines of the legal profession in Argentina.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client data will be anonymized. Digital tools used in the Experimental Group will comply with Argentine data protection laws (Ley de Protección de Datos Personales).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clients and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participants must sign an informed consent form detailing the nature of the study.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Standards:</w:t>
      </w:r>
      <w:r>
        <w:t xml:space="preserve"> </w:t>
      </w:r>
      <w:r>
        <w:t xml:space="preserve">The quality of legal representation must not be compromised. If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determines that the digital tools hinder their ability to provide competent counsel, they may withdraw from the experimental group.</w:t>
      </w:r>
    </w:p>
    <w:bookmarkEnd w:id="31"/>
    <w:bookmarkStart w:id="32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include technical failures in the digital platform and resistance to change among traditional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practitioners. To mitigate this, a technical support team will be available 24/7 during the experiment. Additionally, the study is limited to the jurisdiction of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to ensure uniformity in legal procedural requirements.</w:t>
      </w:r>
    </w:p>
    <w:bookmarkEnd w:id="32"/>
    <w:bookmarkStart w:id="33" w:name="expected-outcomes"/>
    <w:p>
      <w:pPr>
        <w:pStyle w:val="Heading2"/>
      </w:pPr>
      <w:r>
        <w:t xml:space="preserve">8. Expected Outcomes</w:t>
      </w:r>
    </w:p>
    <w:p>
      <w:pPr>
        <w:pStyle w:val="FirstParagraph"/>
      </w:pPr>
      <w:r>
        <w:t xml:space="preserve">We hypothesize that the Experimental Group will demonstrate a 20% reduction in administrative time and a 15% increase in client satisfaction scores due to improved communication transparency.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seeks to provide empirical evidence that can guide the modernization of the legal sector in Buenos Aires.</w:t>
      </w:r>
    </w:p>
    <w:bookmarkEnd w:id="33"/>
    <w:bookmarkStart w:id="34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By rigorously testing these variables, this study aims to redefine the role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the modern era. The findings will be published in a peer-reviewed journal and presented to the legal community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to foster informed debate on legal technology adoption.</w:t>
      </w:r>
    </w:p>
    <w:p>
      <w:pPr>
        <w:pStyle w:val="BodyText"/>
      </w:pPr>
      <w:r>
        <w:rPr>
          <w:iCs/>
          <w:i/>
        </w:rPr>
        <w:t xml:space="preserve">Note: This document is a template for an experimental protocol and does not constitute legal advice. All procedures must be approved by relevant institutional review boards and legal authorities in Argentina.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Legal Service Efficiency in Buenos Aires</dc:title>
  <dc:creator/>
  <dc:language>en</dc:language>
  <cp:keywords/>
  <dcterms:created xsi:type="dcterms:W3CDTF">2026-10-10T03:38:55Z</dcterms:created>
  <dcterms:modified xsi:type="dcterms:W3CDTF">2026-10-10T03:38:55Z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