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Delivery</w:t>
      </w:r>
      <w:r>
        <w:t xml:space="preserve"> </w:t>
      </w:r>
      <w:r>
        <w:t xml:space="preserve">in</w:t>
      </w:r>
      <w:r>
        <w:t xml:space="preserve"> </w:t>
      </w:r>
      <w:r>
        <w:t xml:space="preserve">Australia</w:t>
      </w:r>
      <w:r>
        <w:t xml:space="preserve"> </w:t>
      </w:r>
      <w:r>
        <w:t xml:space="preserve">Brisbane</w:t>
      </w:r>
    </w:p>
    <w:bookmarkStart w:id="31" w:name="X022e91b485bc928fb5bb55bbee7edf3e585d3f9"/>
    <w:p>
      <w:pPr>
        <w:pStyle w:val="Heading1"/>
      </w:pPr>
      <w:r>
        <w:t xml:space="preserve">Experiment Protocol: Evaluation of Legal Service Delivery Models for Lawyers in Australia Brisbane</w:t>
      </w:r>
    </w:p>
    <w:bookmarkStart w:id="20" w:name="introduction-and-background"/>
    <w:p>
      <w:pPr>
        <w:pStyle w:val="Heading2"/>
      </w:pPr>
      <w:r>
        <w:t xml:space="preserve">1. Introduction and Background</w:t>
      </w:r>
    </w:p>
    <w:p>
      <w:pPr>
        <w:pStyle w:val="FirstParagraph"/>
      </w:pPr>
      <w:r>
        <w:t xml:space="preserve">The legal landscape in Australia Brisbane is undergoing significant transformation due to technological advancements, changing client expectations, and regulatory shifts. This Experiment Protocol outlines a structured approach to evaluating the effectiveness of alternative legal service delivery models for lawyers operating in the Brisbane region. The primary objective is to assess how innovative practices impact client satisfaction, case outcomes, and operational efficiency within the context of Queensland's legal framework.</w:t>
      </w:r>
    </w:p>
    <w:p>
      <w:pPr>
        <w:pStyle w:val="BodyText"/>
      </w:pPr>
      <w:r>
        <w:t xml:space="preserve">Brisbane, as the capital city of Queensland, presents a unique environment for legal practice. With a growing population, diverse economic sectors, and a robust judicial system, lawyers in this region face both opportunities and challenges. This experiment aims to provide empirical data that can guide legal professionals, law firms, and policymakers in optimizing service delivery while maintaining high ethical standards and compliance with the Legal Profession Uniform Law (Queensland).</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impact of technology integration on lawyer productivity in Australia Brisbane.</w:t>
      </w:r>
    </w:p>
    <w:p>
      <w:pPr>
        <w:numPr>
          <w:ilvl w:val="0"/>
          <w:numId w:val="1001"/>
        </w:numPr>
        <w:pStyle w:val="Compact"/>
      </w:pPr>
      <w:r>
        <w:t xml:space="preserve">To assess client satisfaction levels across different legal service delivery models.</w:t>
      </w:r>
    </w:p>
    <w:p>
      <w:pPr>
        <w:numPr>
          <w:ilvl w:val="0"/>
          <w:numId w:val="1001"/>
        </w:numPr>
        <w:pStyle w:val="Compact"/>
      </w:pPr>
      <w:r>
        <w:t xml:space="preserve">To analyze the cost-effectiveness of alternative practice structures for lawyers in the Brisbane market.</w:t>
      </w:r>
    </w:p>
    <w:p>
      <w:pPr>
        <w:numPr>
          <w:ilvl w:val="0"/>
          <w:numId w:val="1001"/>
        </w:numPr>
        <w:pStyle w:val="Compact"/>
      </w:pPr>
      <w:r>
        <w:t xml:space="preserve">To identify best practices for maintaining ethical standards while adopting innovative approaches.</w:t>
      </w:r>
    </w:p>
    <w:p>
      <w:pPr>
        <w:numPr>
          <w:ilvl w:val="0"/>
          <w:numId w:val="1001"/>
        </w:numPr>
        <w:pStyle w:val="Compact"/>
      </w:pPr>
      <w:r>
        <w:t xml:space="preserve">To provide actionable recommendations for lawyers seeking to enhance their service delivery in Australia Brisbane.</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metrics with qualitative insights. The study will be conducted over a 12-month period, involving a cohort of 50 lawyers practicing in Australia Brisbane across various specializations including corporate law, family law, criminal defense, and property law.</w:t>
      </w:r>
    </w:p>
    <w:bookmarkEnd w:id="22"/>
    <w:bookmarkStart w:id="23" w:name="participant-selection"/>
    <w:p>
      <w:pPr>
        <w:pStyle w:val="Heading3"/>
      </w:pPr>
      <w:r>
        <w:t xml:space="preserve">3.2 Participant Selection</w:t>
      </w:r>
    </w:p>
    <w:p>
      <w:pPr>
        <w:pStyle w:val="FirstParagraph"/>
      </w:pPr>
      <w:r>
        <w:t xml:space="preserve">Participants will be selected through stratified random sampling to ensure representation across different firm sizes (solo practitioners, small firms, and large firms) and practice areas. All participants must be admitted lawyers in good standing with the Queensland Law Society and hold current practicing certificates.</w:t>
      </w:r>
    </w:p>
    <w:bookmarkEnd w:id="23"/>
    <w:bookmarkStart w:id="24" w:name="intervention-groups"/>
    <w:p>
      <w:pPr>
        <w:pStyle w:val="Heading3"/>
      </w:pPr>
      <w:r>
        <w:t xml:space="preserve">3.3 Intervention Groups</w:t>
      </w:r>
    </w:p>
    <w:p>
      <w:pPr>
        <w:pStyle w:val="FirstParagraph"/>
      </w:pPr>
      <w:r>
        <w:t xml:space="preserve">Participants will be divided into three groups:</w:t>
      </w:r>
    </w:p>
    <w:p>
      <w:pPr>
        <w:numPr>
          <w:ilvl w:val="0"/>
          <w:numId w:val="1002"/>
        </w:numPr>
        <w:pStyle w:val="Compact"/>
      </w:pPr>
      <w:r>
        <w:rPr>
          <w:bCs/>
          <w:b/>
        </w:rPr>
        <w:t xml:space="preserve">Control Group:</w:t>
      </w:r>
      <w:r>
        <w:t xml:space="preserve"> </w:t>
      </w:r>
      <w:r>
        <w:t xml:space="preserve">Lawyers continuing with traditional service delivery models.</w:t>
      </w:r>
    </w:p>
    <w:p>
      <w:pPr>
        <w:numPr>
          <w:ilvl w:val="0"/>
          <w:numId w:val="1002"/>
        </w:numPr>
        <w:pStyle w:val="Compact"/>
      </w:pPr>
      <w:r>
        <w:rPr>
          <w:bCs/>
          <w:b/>
        </w:rPr>
        <w:t xml:space="preserve">Technology-Enhanced Group:</w:t>
      </w:r>
      <w:r>
        <w:t xml:space="preserve"> </w:t>
      </w:r>
      <w:r>
        <w:t xml:space="preserve">Lawyers implementing advanced legal tech tools including AI-assisted research, automated document generation, and virtual client consultations.</w:t>
      </w:r>
    </w:p>
    <w:p>
      <w:pPr>
        <w:numPr>
          <w:ilvl w:val="0"/>
          <w:numId w:val="1002"/>
        </w:numPr>
        <w:pStyle w:val="Compact"/>
      </w:pPr>
      <w:r>
        <w:rPr>
          <w:bCs/>
          <w:b/>
        </w:rPr>
        <w:t xml:space="preserve">Hybrid Model Group:</w:t>
      </w:r>
      <w:r>
        <w:t xml:space="preserve"> </w:t>
      </w:r>
      <w:r>
        <w:t xml:space="preserve">Lawyers adopting a combination of technology and alternative fee structures, including fixed fees and subscription-based services.</w:t>
      </w:r>
    </w:p>
    <w:bookmarkEnd w:id="24"/>
    <w:bookmarkStart w:id="25" w:name="data-collection-methods"/>
    <w:p>
      <w:pPr>
        <w:pStyle w:val="Heading3"/>
      </w:pPr>
      <w:r>
        <w:t xml:space="preserve">3.4 Data Collection Methods</w:t>
      </w:r>
    </w:p>
    <w:p>
      <w:pPr>
        <w:pStyle w:val="FirstParagraph"/>
      </w:pPr>
      <w:r>
        <w:t xml:space="preserve">Data will be collected through multiple channels:</w:t>
      </w:r>
    </w:p>
    <w:p>
      <w:pPr>
        <w:numPr>
          <w:ilvl w:val="0"/>
          <w:numId w:val="1003"/>
        </w:numPr>
        <w:pStyle w:val="Compact"/>
      </w:pPr>
      <w:r>
        <w:t xml:space="preserve">Monthly surveys measuring lawyer productivity, stress levels, and job satisfaction.</w:t>
      </w:r>
    </w:p>
    <w:p>
      <w:pPr>
        <w:numPr>
          <w:ilvl w:val="0"/>
          <w:numId w:val="1003"/>
        </w:numPr>
        <w:pStyle w:val="Compact"/>
      </w:pPr>
      <w:r>
        <w:t xml:space="preserve">Client feedback forms assessing satisfaction, communication quality, and perceived value.</w:t>
      </w:r>
    </w:p>
    <w:p>
      <w:pPr>
        <w:numPr>
          <w:ilvl w:val="0"/>
          <w:numId w:val="1003"/>
        </w:numPr>
        <w:pStyle w:val="Compact"/>
      </w:pPr>
      <w:r>
        <w:t xml:space="preserve">Time-tracking software data to analyze billable hours and efficiency metrics.</w:t>
      </w:r>
    </w:p>
    <w:p>
      <w:pPr>
        <w:numPr>
          <w:ilvl w:val="0"/>
          <w:numId w:val="1003"/>
        </w:numPr>
        <w:pStyle w:val="Compact"/>
      </w:pPr>
      <w:r>
        <w:t xml:space="preserve">Financial records to evaluate revenue per client and overhead costs.</w:t>
      </w:r>
    </w:p>
    <w:p>
      <w:pPr>
        <w:numPr>
          <w:ilvl w:val="0"/>
          <w:numId w:val="1003"/>
        </w:numPr>
        <w:pStyle w:val="Compact"/>
      </w:pPr>
      <w:r>
        <w:t xml:space="preserve">Semi-structured interviews with a subset of participants and their clients.</w:t>
      </w:r>
    </w:p>
    <w:bookmarkEnd w:id="25"/>
    <w:bookmarkEnd w:id="26"/>
    <w:bookmarkStart w:id="27" w:name="ethical-considerations"/>
    <w:p>
      <w:pPr>
        <w:pStyle w:val="Heading2"/>
      </w:pPr>
      <w:r>
        <w:t xml:space="preserve">4. Ethical Considerations</w:t>
      </w:r>
    </w:p>
    <w:p>
      <w:pPr>
        <w:pStyle w:val="FirstParagraph"/>
      </w:pPr>
      <w:r>
        <w:t xml:space="preserve">This experiment protocol strictly adheres to ethical guidelines established by the Queensland Law Society and the Australian Research Council. Key ethical considerations include:</w:t>
      </w:r>
    </w:p>
    <w:p>
      <w:pPr>
        <w:numPr>
          <w:ilvl w:val="0"/>
          <w:numId w:val="1004"/>
        </w:numPr>
        <w:pStyle w:val="Compact"/>
      </w:pPr>
      <w:r>
        <w:t xml:space="preserve">Informed consent from all participating lawyers and their clients.</w:t>
      </w:r>
    </w:p>
    <w:p>
      <w:pPr>
        <w:numPr>
          <w:ilvl w:val="0"/>
          <w:numId w:val="1004"/>
        </w:numPr>
        <w:pStyle w:val="Compact"/>
      </w:pPr>
      <w:r>
        <w:t xml:space="preserve">Maintenance of client confidentiality and privilege throughout the study.</w:t>
      </w:r>
    </w:p>
    <w:p>
      <w:pPr>
        <w:numPr>
          <w:ilvl w:val="0"/>
          <w:numId w:val="1004"/>
        </w:numPr>
        <w:pStyle w:val="Compact"/>
      </w:pPr>
      <w:r>
        <w:t xml:space="preserve">Compliance with the Legal Profession Uniform Conduct (Barristers) Rules 2015 and Legal Profession Uniform Conduct (Solicitors) Rules 2015.</w:t>
      </w:r>
    </w:p>
    <w:p>
      <w:pPr>
        <w:numPr>
          <w:ilvl w:val="0"/>
          <w:numId w:val="1004"/>
        </w:numPr>
        <w:pStyle w:val="Compact"/>
      </w:pPr>
      <w:r>
        <w:t xml:space="preserve">Ensuring that experimental interventions do not compromise the quality of legal advice or representation.</w:t>
      </w:r>
    </w:p>
    <w:p>
      <w:pPr>
        <w:numPr>
          <w:ilvl w:val="0"/>
          <w:numId w:val="1004"/>
        </w:numPr>
        <w:pStyle w:val="Compact"/>
      </w:pPr>
      <w:r>
        <w:t xml:space="preserve">Regular monitoring by an independent ethics committee.</w:t>
      </w:r>
    </w:p>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Participant recruitment, baseline data collection, training sessions</w:t>
            </w:r>
          </w:p>
        </w:tc>
      </w:tr>
      <w:tr>
        <w:tc>
          <w:tcPr/>
          <w:p>
            <w:pPr>
              <w:pStyle w:val="Compact"/>
              <w:jc w:val="left"/>
            </w:pPr>
            <w:r>
              <w:t xml:space="preserve">Intervention</w:t>
            </w:r>
          </w:p>
        </w:tc>
        <w:tc>
          <w:tcPr/>
          <w:p>
            <w:pPr>
              <w:pStyle w:val="Compact"/>
              <w:jc w:val="left"/>
            </w:pPr>
            <w:r>
              <w:t xml:space="preserve">Months 3-10</w:t>
            </w:r>
          </w:p>
        </w:tc>
        <w:tc>
          <w:tcPr/>
          <w:p>
            <w:pPr>
              <w:pStyle w:val="Compact"/>
              <w:jc w:val="left"/>
            </w:pPr>
            <w:r>
              <w:t xml:space="preserve">Implementation of service delivery models, ongoing data collection</w:t>
            </w:r>
          </w:p>
        </w:tc>
      </w:tr>
      <w:tr>
        <w:tc>
          <w:tcPr/>
          <w:p>
            <w:pPr>
              <w:pStyle w:val="Compact"/>
              <w:jc w:val="left"/>
            </w:pPr>
            <w:r>
              <w:t xml:space="preserve">Analysis</w:t>
            </w:r>
          </w:p>
        </w:tc>
        <w:tc>
          <w:tcPr/>
          <w:p>
            <w:pPr>
              <w:pStyle w:val="Compact"/>
              <w:jc w:val="left"/>
            </w:pPr>
            <w:r>
              <w:t xml:space="preserve">Months 11-12</w:t>
            </w:r>
          </w:p>
        </w:tc>
        <w:tc>
          <w:tcPr/>
          <w:p>
            <w:pPr>
              <w:pStyle w:val="Compact"/>
              <w:jc w:val="left"/>
            </w:pPr>
            <w:r>
              <w:t xml:space="preserve">Data analysis, report preparation, stakeholder presentations</w:t>
            </w:r>
          </w:p>
        </w:tc>
      </w:tr>
    </w:tbl>
    <w:bookmarkEnd w:id="28"/>
    <w:bookmarkStart w:id="29" w:name="expected-outcomes-and-impact"/>
    <w:p>
      <w:pPr>
        <w:pStyle w:val="Heading2"/>
      </w:pPr>
      <w:r>
        <w:t xml:space="preserve">6. Expected Outcomes and Impact</w:t>
      </w:r>
    </w:p>
    <w:p>
      <w:pPr>
        <w:pStyle w:val="FirstParagraph"/>
      </w:pPr>
      <w:r>
        <w:t xml:space="preserve">This experiment protocol anticipates generating valuable insights into the future of legal practice in Australia Brisbane. Expected outcomes include:</w:t>
      </w:r>
    </w:p>
    <w:p>
      <w:pPr>
        <w:numPr>
          <w:ilvl w:val="0"/>
          <w:numId w:val="1005"/>
        </w:numPr>
        <w:pStyle w:val="Compact"/>
      </w:pPr>
      <w:r>
        <w:t xml:space="preserve">Evidence-based recommendations for lawyers seeking to modernize their practices.</w:t>
      </w:r>
    </w:p>
    <w:p>
      <w:pPr>
        <w:numPr>
          <w:ilvl w:val="0"/>
          <w:numId w:val="1005"/>
        </w:numPr>
        <w:pStyle w:val="Compact"/>
      </w:pPr>
      <w:r>
        <w:t xml:space="preserve">Identification of technology tools that provide the greatest return on investment for Brisbane-based legal professionals.</w:t>
      </w:r>
    </w:p>
    <w:p>
      <w:pPr>
        <w:numPr>
          <w:ilvl w:val="0"/>
          <w:numId w:val="1005"/>
        </w:numPr>
        <w:pStyle w:val="Compact"/>
      </w:pPr>
      <w:r>
        <w:t xml:space="preserve">Enhanced understanding of client preferences in the Brisbane legal market.</w:t>
      </w:r>
    </w:p>
    <w:p>
      <w:pPr>
        <w:numPr>
          <w:ilvl w:val="0"/>
          <w:numId w:val="1005"/>
        </w:numPr>
        <w:pStyle w:val="Compact"/>
      </w:pPr>
      <w:r>
        <w:t xml:space="preserve">Contributions to the broader discourse on legal innovation in Australia.</w:t>
      </w:r>
    </w:p>
    <w:p>
      <w:pPr>
        <w:pStyle w:val="FirstParagraph"/>
      </w:pPr>
      <w:r>
        <w:t xml:space="preserve">The findings will be disseminated through academic publications, presentations at Queensland Law Society events, and practical guides for lawyers in Australia Brisbane. This experiment protocol represents a significant step toward evidence-based improvement in legal service delivery, ultimately benefiting lawyers, clients, and the justice system as a whole.</w:t>
      </w:r>
    </w:p>
    <w:bookmarkEnd w:id="29"/>
    <w:bookmarkStart w:id="30" w:name="conclusion"/>
    <w:p>
      <w:pPr>
        <w:pStyle w:val="Heading2"/>
      </w:pPr>
      <w:r>
        <w:t xml:space="preserve">7. Conclusion</w:t>
      </w:r>
    </w:p>
    <w:p>
      <w:pPr>
        <w:pStyle w:val="FirstParagraph"/>
      </w:pPr>
      <w:r>
        <w:t xml:space="preserve">This Experiment Protocol provides a comprehensive framework for evaluating innovative legal service delivery models for lawyers in Australia Brisbane. By combining rigorous methodology with practical relevance, this study aims to contribute meaningfully to the evolution of legal practice in Queensland. The insights gained will help lawyers navigate the challenges and opportunities of a rapidly changing legal landscape while maintaining the highest standards of professional conduct and client service.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Delivery in Australia Brisbane</dc:title>
  <dc:creator/>
  <dc:language>en</dc:language>
  <cp:keywords/>
  <dcterms:created xsi:type="dcterms:W3CDTF">2026-10-10T03:37:58Z</dcterms:created>
  <dcterms:modified xsi:type="dcterms:W3CDTF">2026-10-10T03:37:58Z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