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Practitioner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Xa6ef36e45a9d9c06ab82dda570198818cdc8748"/>
    <w:p>
      <w:pPr>
        <w:pStyle w:val="Heading1"/>
      </w:pPr>
      <w:r>
        <w:t xml:space="preserve">Experiment Protocol: Evaluation of Legal Practitioner Efficacy in Australia Melbourne</w:t>
      </w:r>
    </w:p>
    <w:p>
      <w:pPr>
        <w:pStyle w:val="FirstParagraph"/>
      </w:pPr>
      <w:r>
        <w:rPr>
          <w:bCs/>
          <w:b/>
        </w:rPr>
        <w:t xml:space="preserve">Protocol ID:</w:t>
      </w:r>
      <w:r>
        <w:t xml:space="preserve"> </w:t>
      </w:r>
      <w:r>
        <w:t xml:space="preserve">MEL-LAW-EXP-2023-001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Australia Melbourne, Victoria</w:t>
      </w:r>
    </w:p>
    <w:p>
      <w:pPr>
        <w:pStyle w:val="BodyText"/>
      </w:pPr>
      <w:r>
        <w:rPr>
          <w:bCs/>
          <w:b/>
        </w:rPr>
        <w:t xml:space="preserve">Subject:</w:t>
      </w:r>
      <w:r>
        <w:t xml:space="preserve"> </w:t>
      </w:r>
      <w:r>
        <w:t xml:space="preserve">Lawyer Performance Metrics and Client Interaction Standards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ethical adherence, and client communication strategies of a Lawyer operating within the jurisdiction of Australia Melbourne. The legal landscape in Australia Melbourne is characterized by a robust regulatory framework governed by the Victorian Legal Services Board and Complaints Commission (LSBCC) and the Supreme Court of Victoria. As the legal profession evolves, there is a critical need to empirically evaluate how legal practitioners navigate complex statutory requirements while maintaining high standards of client service.</w:t>
      </w:r>
    </w:p>
    <w:p>
      <w:pPr>
        <w:pStyle w:val="BodyText"/>
      </w:pPr>
      <w:r>
        <w:t xml:space="preserve">The primary objective of this experiment is to determine the correlation between structured client communication protocols and case outcome satisfaction among clients engaging a Lawyer in Australia Melbourne. This study aims to provide data-driven insights that can enhance legal practice management and improve public trust in the legal system.</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responsiveness of a Lawyer to client inquiries within the Australia Melbourne metropolitan area.</w:t>
      </w:r>
    </w:p>
    <w:p>
      <w:pPr>
        <w:numPr>
          <w:ilvl w:val="0"/>
          <w:numId w:val="1001"/>
        </w:numPr>
        <w:pStyle w:val="Compact"/>
      </w:pPr>
      <w:r>
        <w:t xml:space="preserve">To assess the clarity and accuracy of legal advice provided in accordance with Victorian law.</w:t>
      </w:r>
    </w:p>
    <w:p>
      <w:pPr>
        <w:numPr>
          <w:ilvl w:val="0"/>
          <w:numId w:val="1001"/>
        </w:numPr>
        <w:pStyle w:val="Compact"/>
      </w:pPr>
      <w:r>
        <w:t xml:space="preserve">To measure client satisfaction levels regarding the transparency of fee structures and billing practices.</w:t>
      </w:r>
    </w:p>
    <w:p>
      <w:pPr>
        <w:numPr>
          <w:ilvl w:val="0"/>
          <w:numId w:val="1001"/>
        </w:numPr>
        <w:pStyle w:val="Compact"/>
      </w:pPr>
      <w:r>
        <w:t xml:space="preserve">To analyze the impact of digital communication tools on the efficiency of legal service delivery in Australia Melbourne.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surveys with qualitative interviews. The study will be conducted over a period of six months, involving a sample group of 100 clients who have engaged a Lawyer for civil litigation, family law, or commercial disputes in Australia Melbourne.</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Must be a resident of Australia Melbourne or have conducted business within the region.</w:t>
      </w:r>
    </w:p>
    <w:p>
      <w:pPr>
        <w:numPr>
          <w:ilvl w:val="0"/>
          <w:numId w:val="1002"/>
        </w:numPr>
        <w:pStyle w:val="Compact"/>
      </w:pPr>
      <w:r>
        <w:t xml:space="preserve">Must have engaged a Lawyer for a legal matter within the past 12 months.</w:t>
      </w:r>
    </w:p>
    <w:p>
      <w:pPr>
        <w:numPr>
          <w:ilvl w:val="0"/>
          <w:numId w:val="1002"/>
        </w:numPr>
        <w:pStyle w:val="Compact"/>
      </w:pPr>
      <w:r>
        <w:t xml:space="preserve">Must provide informed consent to participate in the study.</w:t>
      </w:r>
    </w:p>
    <w:p>
      <w:pPr>
        <w:pStyle w:val="FirstParagraph"/>
      </w:pPr>
      <w:r>
        <w:t xml:space="preserve">The Lawyer under observation will be a qualified legal practitioner registered with the Victorian Legal Services Board, ensuring compliance with local regulatory standards.</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Participants will complete an online survey assessing their experience with the Lawyer, including response times, clarity of advice, and overall satisfaction.</w:t>
      </w:r>
    </w:p>
    <w:p>
      <w:pPr>
        <w:numPr>
          <w:ilvl w:val="0"/>
          <w:numId w:val="1003"/>
        </w:numPr>
        <w:pStyle w:val="Compact"/>
      </w:pPr>
      <w:r>
        <w:rPr>
          <w:bCs/>
          <w:b/>
        </w:rPr>
        <w:t xml:space="preserve">Interviews:</w:t>
      </w:r>
      <w:r>
        <w:t xml:space="preserve"> </w:t>
      </w:r>
      <w:r>
        <w:t xml:space="preserve">A subset of participants will undergo semi-structured interviews to gain deeper insights into their interactions with the Lawyer.</w:t>
      </w:r>
    </w:p>
    <w:p>
      <w:pPr>
        <w:numPr>
          <w:ilvl w:val="0"/>
          <w:numId w:val="1003"/>
        </w:numPr>
        <w:pStyle w:val="Compact"/>
      </w:pPr>
      <w:r>
        <w:rPr>
          <w:bCs/>
          <w:b/>
        </w:rPr>
        <w:t xml:space="preserve">Case File Analysis:</w:t>
      </w:r>
      <w:r>
        <w:t xml:space="preserve"> </w:t>
      </w:r>
      <w:r>
        <w:t xml:space="preserve">With client consent, anonymized case files will be reviewed to assess the quality of legal documentation and adherence to procedural requirements in Australia Melbourne.</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ethical guidelines set forth by the National Statement on Ethical Conduct in Human Research. Key ethical considerations include:</w:t>
      </w:r>
    </w:p>
    <w:p>
      <w:pPr>
        <w:numPr>
          <w:ilvl w:val="0"/>
          <w:numId w:val="1004"/>
        </w:numPr>
        <w:pStyle w:val="Compact"/>
      </w:pPr>
      <w:r>
        <w:rPr>
          <w:bCs/>
          <w:b/>
        </w:rPr>
        <w:t xml:space="preserve">Informed Consent:</w:t>
      </w:r>
      <w:r>
        <w:t xml:space="preserve"> </w:t>
      </w:r>
      <w:r>
        <w:t xml:space="preserve">All participants will be provided with a detailed information sheet outlining the purpose of the study, their rights, and the voluntary nature of their participation.</w:t>
      </w:r>
    </w:p>
    <w:p>
      <w:pPr>
        <w:numPr>
          <w:ilvl w:val="0"/>
          <w:numId w:val="1004"/>
        </w:numPr>
        <w:pStyle w:val="Compact"/>
      </w:pPr>
      <w:r>
        <w:rPr>
          <w:bCs/>
          <w:b/>
        </w:rPr>
        <w:t xml:space="preserve">Confidentiality:</w:t>
      </w:r>
      <w:r>
        <w:t xml:space="preserve"> </w:t>
      </w:r>
      <w:r>
        <w:t xml:space="preserve">All data collected will be anonymized to protect the identity of both the clients and the Lawyer. Data will be stored securely in compliance with the Privacy and Data Protection Act 2014 (Victoria).</w:t>
      </w:r>
    </w:p>
    <w:p>
      <w:pPr>
        <w:numPr>
          <w:ilvl w:val="0"/>
          <w:numId w:val="1004"/>
        </w:numPr>
        <w:pStyle w:val="Compact"/>
      </w:pPr>
      <w:r>
        <w:rPr>
          <w:bCs/>
          <w:b/>
        </w:rPr>
        <w:t xml:space="preserve">Professional Boundaries:</w:t>
      </w:r>
      <w:r>
        <w:t xml:space="preserve"> </w:t>
      </w:r>
      <w:r>
        <w:t xml:space="preserve">The experiment will not interfere with the Lawyer-client relationship or the administration of justice in Australia Melbourne.</w:t>
      </w:r>
    </w:p>
    <w:bookmarkEnd w:id="27"/>
    <w:bookmarkStart w:id="28" w:name="data-analysis"/>
    <w:p>
      <w:pPr>
        <w:pStyle w:val="Heading2"/>
      </w:pPr>
      <w:r>
        <w:t xml:space="preserve">5. Data Analysis</w:t>
      </w:r>
    </w:p>
    <w:p>
      <w:pPr>
        <w:pStyle w:val="FirstParagraph"/>
      </w:pPr>
      <w:r>
        <w:t xml:space="preserve">Quantitative data from surveys will be analyzed using statistical software to identify trends and correlations. Qualitative data from interviews will be subjected to thematic analysis to uncover recurring patterns in client experiences. The findings will be triangulated to ensure the validity and reliability of the results.</w:t>
      </w:r>
    </w:p>
    <w:bookmarkEnd w:id="28"/>
    <w:bookmarkStart w:id="29" w:name="expected-outcomes"/>
    <w:p>
      <w:pPr>
        <w:pStyle w:val="Heading2"/>
      </w:pPr>
      <w:r>
        <w:t xml:space="preserve">6. Expected Outcomes</w:t>
      </w:r>
    </w:p>
    <w:p>
      <w:pPr>
        <w:pStyle w:val="FirstParagraph"/>
      </w:pPr>
      <w:r>
        <w:t xml:space="preserve">This experiment aims to produce actionable recommendations for improving legal service delivery in Australia Melbourne. Expected outcomes include:</w:t>
      </w:r>
    </w:p>
    <w:p>
      <w:pPr>
        <w:numPr>
          <w:ilvl w:val="0"/>
          <w:numId w:val="1005"/>
        </w:numPr>
        <w:pStyle w:val="Compact"/>
      </w:pPr>
      <w:r>
        <w:t xml:space="preserve">Identification of best practices for client communication by a Lawyer.</w:t>
      </w:r>
    </w:p>
    <w:p>
      <w:pPr>
        <w:numPr>
          <w:ilvl w:val="0"/>
          <w:numId w:val="1005"/>
        </w:numPr>
        <w:pStyle w:val="Compact"/>
      </w:pPr>
      <w:r>
        <w:t xml:space="preserve">Insights into the effectiveness of digital tools in enhancing legal service efficiency.</w:t>
      </w:r>
    </w:p>
    <w:p>
      <w:pPr>
        <w:numPr>
          <w:ilvl w:val="0"/>
          <w:numId w:val="1005"/>
        </w:numPr>
        <w:pStyle w:val="Compact"/>
      </w:pPr>
      <w:r>
        <w:t xml:space="preserve">Recommendations for regulatory bodies to enhance oversight and support for legal practitioners.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Lawyer in Australia Melbourne. By systematically assessing key aspects of legal practice, this study seeks to contribute to the ongoing improvement of legal services and uphold the integrity of the legal profession in the region.</w:t>
      </w:r>
    </w:p>
    <w:bookmarkEnd w:id="30"/>
    <w:p>
      <w:pPr>
        <w:pStyle w:val="BodyText"/>
      </w:pPr>
      <w:r>
        <w:t xml:space="preserve">Document prepared for academic and professional use. All references to Australia Melbourne and legal practices are based on current regulations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Practitioner Performance in Australia Melbourne</dc:title>
  <dc:creator/>
  <dc:language>en</dc:language>
  <cp:keywords/>
  <dcterms:created xsi:type="dcterms:W3CDTF">2026-10-10T02:30:15Z</dcterms:created>
  <dcterms:modified xsi:type="dcterms:W3CDTF">2026-10-10T02:30:15Z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