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Australia</w:t>
      </w:r>
      <w:r>
        <w:t xml:space="preserve"> </w:t>
      </w:r>
      <w:r>
        <w:t xml:space="preserve">Sydney</w:t>
      </w:r>
    </w:p>
    <w:bookmarkStart w:id="33" w:name="X7b84a0244ca136986089c7d058136597d89ff08"/>
    <w:p>
      <w:pPr>
        <w:pStyle w:val="Heading1"/>
      </w:pPr>
      <w:r>
        <w:t xml:space="preserve">Experiment Protocol: Evaluation of Legal Service Delivery Models for Lawyers in Australia Sydney</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of alternative legal service delivery models employed by lawyers operating within Australia Sydney. The legal landscape in Australia Sydney is characterized by high demand for legal services, complex regulatory frameworks, and increasing pressure to improve access to justice. This experiment aims to evaluate how different service delivery approaches impact client satisfaction, case outcomes, and operational efficiency for lawyers practicing in this jurisdiction.</w:t>
      </w:r>
    </w:p>
    <w:p>
      <w:pPr>
        <w:pStyle w:val="BodyText"/>
      </w:pPr>
      <w:r>
        <w:t xml:space="preserve">The focus on Australia Sydney is deliberate, as this metropolitan area represents a significant proportion of Australia's legal market and serves as a testing ground for innovative legal practices. The findings from this experiment will contribute to the broader understanding of how lawyers can adapt their practices to meet the evolving needs of clients in Australia Sydney while maintaining professional standards and ethical obligations.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compare traditional legal service delivery models with technology-enhanced models used by lawyers in Australia Sydney.</w:t>
      </w:r>
    </w:p>
    <w:p>
      <w:pPr>
        <w:numPr>
          <w:ilvl w:val="0"/>
          <w:numId w:val="1001"/>
        </w:numPr>
        <w:pStyle w:val="Compact"/>
      </w:pPr>
      <w:r>
        <w:t xml:space="preserve">To measure the impact of different service delivery approaches on client satisfaction and trust in legal professionals.</w:t>
      </w:r>
    </w:p>
    <w:p>
      <w:pPr>
        <w:numPr>
          <w:ilvl w:val="0"/>
          <w:numId w:val="1001"/>
        </w:numPr>
        <w:pStyle w:val="Compact"/>
      </w:pPr>
      <w:r>
        <w:t xml:space="preserve">To assess the efficiency gains, if any, achieved through alternative service delivery models in terms of time management and cost reduction.</w:t>
      </w:r>
    </w:p>
    <w:p>
      <w:pPr>
        <w:numPr>
          <w:ilvl w:val="0"/>
          <w:numId w:val="1001"/>
        </w:numPr>
        <w:pStyle w:val="Compact"/>
      </w:pPr>
      <w:r>
        <w:t xml:space="preserve">To identify best practices for lawyers in Australia Sydney seeking to improve their service delivery while complying with local regulations.</w:t>
      </w:r>
    </w:p>
    <w:p>
      <w:pPr>
        <w:numPr>
          <w:ilvl w:val="0"/>
          <w:numId w:val="1001"/>
        </w:numPr>
        <w:pStyle w:val="Compact"/>
      </w:pPr>
      <w:r>
        <w:t xml:space="preserve">To evaluate the ethical implications of various service delivery models for lawyers practicing in Australia Sydney.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and qualitative data collection techniques. The study will be conducted over a period of 12 months, involving lawyers and their clients across various practice areas in Australia Sydney.</w:t>
      </w:r>
    </w:p>
    <w:bookmarkEnd w:id="22"/>
    <w:bookmarkStart w:id="23" w:name="participants"/>
    <w:p>
      <w:pPr>
        <w:pStyle w:val="Heading3"/>
      </w:pPr>
      <w:r>
        <w:t xml:space="preserve">3.2 Participants</w:t>
      </w:r>
    </w:p>
    <w:p>
      <w:pPr>
        <w:pStyle w:val="FirstParagraph"/>
      </w:pPr>
      <w:r>
        <w:t xml:space="preserve">The study will involve:</w:t>
      </w:r>
    </w:p>
    <w:p>
      <w:pPr>
        <w:numPr>
          <w:ilvl w:val="0"/>
          <w:numId w:val="1002"/>
        </w:numPr>
        <w:pStyle w:val="Compact"/>
      </w:pPr>
      <w:r>
        <w:t xml:space="preserve">Lawyers: A sample of 100 lawyers practicing in Australia Sydney, representing different firm sizes (solo practitioners, small firms, and large firms) and practice areas (corporate, family, criminal, and civil law).</w:t>
      </w:r>
    </w:p>
    <w:p>
      <w:pPr>
        <w:numPr>
          <w:ilvl w:val="0"/>
          <w:numId w:val="1002"/>
        </w:numPr>
        <w:pStyle w:val="Compact"/>
      </w:pPr>
      <w:r>
        <w:t xml:space="preserve">Clients: A minimum of 500 clients engaged by the participating lawyers during the study period.</w:t>
      </w:r>
    </w:p>
    <w:bookmarkEnd w:id="23"/>
    <w:bookmarkStart w:id="24" w:name="intervention-groups"/>
    <w:p>
      <w:pPr>
        <w:pStyle w:val="Heading3"/>
      </w:pPr>
      <w:r>
        <w:t xml:space="preserve">3.3 Intervention Groups</w:t>
      </w:r>
    </w:p>
    <w:p>
      <w:pPr>
        <w:pStyle w:val="FirstParagraph"/>
      </w:pPr>
      <w:r>
        <w:t xml:space="preserve">Participating lawyers will be divided into three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Service Delivery Model</w:t>
            </w:r>
          </w:p>
        </w:tc>
        <w:tc>
          <w:tcPr/>
          <w:p>
            <w:pPr>
              <w:pStyle w:val="Compact"/>
              <w:jc w:val="left"/>
            </w:pPr>
            <w:r>
              <w:t xml:space="preserve">Description</w:t>
            </w:r>
          </w:p>
        </w:tc>
      </w:tr>
      <w:tr>
        <w:tc>
          <w:tcPr/>
          <w:p>
            <w:pPr>
              <w:pStyle w:val="Compact"/>
              <w:jc w:val="left"/>
            </w:pPr>
            <w:r>
              <w:t xml:space="preserve">Group A</w:t>
            </w:r>
          </w:p>
        </w:tc>
        <w:tc>
          <w:tcPr/>
          <w:p>
            <w:pPr>
              <w:pStyle w:val="Compact"/>
              <w:jc w:val="left"/>
            </w:pPr>
            <w:r>
              <w:t xml:space="preserve">Traditional Model</w:t>
            </w:r>
          </w:p>
        </w:tc>
        <w:tc>
          <w:tcPr/>
          <w:p>
            <w:pPr>
              <w:pStyle w:val="Compact"/>
              <w:jc w:val="left"/>
            </w:pPr>
            <w:r>
              <w:t xml:space="preserve">Face-to-face consultations, paper-based documentation, and conventional communication methods.</w:t>
            </w:r>
          </w:p>
        </w:tc>
      </w:tr>
      <w:tr>
        <w:tc>
          <w:tcPr/>
          <w:p>
            <w:pPr>
              <w:pStyle w:val="Compact"/>
              <w:jc w:val="left"/>
            </w:pPr>
            <w:r>
              <w:t xml:space="preserve">Group B</w:t>
            </w:r>
          </w:p>
        </w:tc>
        <w:tc>
          <w:tcPr/>
          <w:p>
            <w:pPr>
              <w:pStyle w:val="Compact"/>
              <w:jc w:val="left"/>
            </w:pPr>
            <w:r>
              <w:t xml:space="preserve">Technology-Enhanced Model</w:t>
            </w:r>
          </w:p>
        </w:tc>
        <w:tc>
          <w:tcPr/>
          <w:p>
            <w:pPr>
              <w:pStyle w:val="Compact"/>
              <w:jc w:val="left"/>
            </w:pPr>
            <w:r>
              <w:t xml:space="preserve">Use of legal tech tools, online consultations, digital documentation, and automated workflows.</w:t>
            </w:r>
          </w:p>
        </w:tc>
      </w:tr>
      <w:tr>
        <w:tc>
          <w:tcPr/>
          <w:p>
            <w:pPr>
              <w:pStyle w:val="Compact"/>
              <w:jc w:val="left"/>
            </w:pPr>
            <w:r>
              <w:t xml:space="preserve">Group C</w:t>
            </w:r>
          </w:p>
        </w:tc>
        <w:tc>
          <w:tcPr/>
          <w:p>
            <w:pPr>
              <w:pStyle w:val="Compact"/>
              <w:jc w:val="left"/>
            </w:pPr>
            <w:r>
              <w:t xml:space="preserve">Hybrid Model</w:t>
            </w:r>
          </w:p>
        </w:tc>
        <w:tc>
          <w:tcPr/>
          <w:p>
            <w:pPr>
              <w:pStyle w:val="Compact"/>
              <w:jc w:val="left"/>
            </w:pPr>
            <w:r>
              <w:t xml:space="preserve">Combination of traditional and technology-enhanced approaches, tailored to client preferences.</w:t>
            </w:r>
          </w:p>
        </w:tc>
      </w:tr>
    </w:tbl>
    <w:bookmarkEnd w:id="24"/>
    <w:bookmarkEnd w:id="25"/>
    <w:bookmarkStart w:id="28" w:name="data-collection"/>
    <w:p>
      <w:pPr>
        <w:pStyle w:val="Heading2"/>
      </w:pPr>
      <w:r>
        <w:t xml:space="preserve">4. Data Collection</w:t>
      </w:r>
    </w:p>
    <w:bookmarkStart w:id="26" w:name="quantitative-measures"/>
    <w:p>
      <w:pPr>
        <w:pStyle w:val="Heading3"/>
      </w:pPr>
      <w:r>
        <w:t xml:space="preserve">4.1 Quantitative Measures</w:t>
      </w:r>
    </w:p>
    <w:p>
      <w:pPr>
        <w:pStyle w:val="FirstParagraph"/>
      </w:pPr>
      <w:r>
        <w:t xml:space="preserve">The following quantitative data will be collected:</w:t>
      </w:r>
    </w:p>
    <w:p>
      <w:pPr>
        <w:numPr>
          <w:ilvl w:val="0"/>
          <w:numId w:val="1003"/>
        </w:numPr>
        <w:pStyle w:val="Compact"/>
      </w:pPr>
      <w:r>
        <w:t xml:space="preserve">Client satisfaction scores using standardized surveys administered at multiple points during the legal engagement.</w:t>
      </w:r>
    </w:p>
    <w:p>
      <w:pPr>
        <w:numPr>
          <w:ilvl w:val="0"/>
          <w:numId w:val="1003"/>
        </w:numPr>
        <w:pStyle w:val="Compact"/>
      </w:pPr>
      <w:r>
        <w:t xml:space="preserve">Case resolution times for comparable legal matters across the three groups.</w:t>
      </w:r>
    </w:p>
    <w:p>
      <w:pPr>
        <w:numPr>
          <w:ilvl w:val="0"/>
          <w:numId w:val="1003"/>
        </w:numPr>
        <w:pStyle w:val="Compact"/>
      </w:pPr>
      <w:r>
        <w:t xml:space="preserve">Cost metrics, including legal fees charged and administrative costs incurred by lawyers.</w:t>
      </w:r>
    </w:p>
    <w:p>
      <w:pPr>
        <w:numPr>
          <w:ilvl w:val="0"/>
          <w:numId w:val="1003"/>
        </w:numPr>
        <w:pStyle w:val="Compact"/>
      </w:pPr>
      <w:r>
        <w:t xml:space="preserve">Client retention rates and referral patterns.</w:t>
      </w:r>
    </w:p>
    <w:bookmarkEnd w:id="26"/>
    <w:bookmarkStart w:id="27" w:name="qualitative-measures"/>
    <w:p>
      <w:pPr>
        <w:pStyle w:val="Heading3"/>
      </w:pPr>
      <w:r>
        <w:t xml:space="preserve">4.2 Qualitative Measures</w:t>
      </w:r>
    </w:p>
    <w:p>
      <w:pPr>
        <w:pStyle w:val="FirstParagraph"/>
      </w:pPr>
      <w:r>
        <w:t xml:space="preserve">Qualitative data will be gathered through:</w:t>
      </w:r>
    </w:p>
    <w:p>
      <w:pPr>
        <w:numPr>
          <w:ilvl w:val="0"/>
          <w:numId w:val="1004"/>
        </w:numPr>
        <w:pStyle w:val="Compact"/>
      </w:pPr>
      <w:r>
        <w:t xml:space="preserve">Semi-structured interviews with lawyers about their experiences with different service delivery models.</w:t>
      </w:r>
    </w:p>
    <w:p>
      <w:pPr>
        <w:numPr>
          <w:ilvl w:val="0"/>
          <w:numId w:val="1004"/>
        </w:numPr>
        <w:pStyle w:val="Compact"/>
      </w:pPr>
      <w:r>
        <w:t xml:space="preserve">Focus groups with clients to explore their perceptions of legal service quality and accessibility.</w:t>
      </w:r>
    </w:p>
    <w:p>
      <w:pPr>
        <w:numPr>
          <w:ilvl w:val="0"/>
          <w:numId w:val="1004"/>
        </w:numPr>
        <w:pStyle w:val="Compact"/>
      </w:pPr>
      <w:r>
        <w:t xml:space="preserve">Case studies of specific legal matters to illustrate the practical implications of different approaches.</w:t>
      </w:r>
    </w:p>
    <w:bookmarkEnd w:id="27"/>
    <w:bookmarkEnd w:id="28"/>
    <w:bookmarkStart w:id="29" w:name="ethical-considerations"/>
    <w:p>
      <w:pPr>
        <w:pStyle w:val="Heading2"/>
      </w:pPr>
      <w:r>
        <w:t xml:space="preserve">5. Ethical Considerations</w:t>
      </w:r>
    </w:p>
    <w:p>
      <w:pPr>
        <w:pStyle w:val="FirstParagraph"/>
      </w:pPr>
      <w:r>
        <w:t xml:space="preserve">This experiment will adhere to the ethical guidelines established by the Law Society of New South Wales and relevant Australian research ethics frameworks. Key ethical considerations include:</w:t>
      </w:r>
    </w:p>
    <w:p>
      <w:pPr>
        <w:numPr>
          <w:ilvl w:val="0"/>
          <w:numId w:val="1005"/>
        </w:numPr>
        <w:pStyle w:val="Compact"/>
      </w:pPr>
      <w:r>
        <w:t xml:space="preserve">Informed consent from all participating lawyers and clients.</w:t>
      </w:r>
    </w:p>
    <w:p>
      <w:pPr>
        <w:numPr>
          <w:ilvl w:val="0"/>
          <w:numId w:val="1005"/>
        </w:numPr>
        <w:pStyle w:val="Compact"/>
      </w:pPr>
      <w:r>
        <w:t xml:space="preserve">Confidentiality and privacy protection in accordance with Australian privacy laws.</w:t>
      </w:r>
    </w:p>
    <w:p>
      <w:pPr>
        <w:numPr>
          <w:ilvl w:val="0"/>
          <w:numId w:val="1005"/>
        </w:numPr>
        <w:pStyle w:val="Compact"/>
      </w:pPr>
      <w:r>
        <w:t xml:space="preserve">Ensuring that the experiment does not compromise the quality of legal services provided to clients.</w:t>
      </w:r>
    </w:p>
    <w:p>
      <w:pPr>
        <w:numPr>
          <w:ilvl w:val="0"/>
          <w:numId w:val="1005"/>
        </w:numPr>
        <w:pStyle w:val="Compact"/>
      </w:pPr>
      <w:r>
        <w:t xml:space="preserve">Maintaining professional independence and avoiding conflicts of interest.</w:t>
      </w:r>
    </w:p>
    <w:bookmarkEnd w:id="29"/>
    <w:bookmarkStart w:id="30" w:name="data-analysis"/>
    <w:p>
      <w:pPr>
        <w:pStyle w:val="Heading2"/>
      </w:pPr>
      <w:r>
        <w:t xml:space="preserve">6. Data Analysis</w:t>
      </w:r>
    </w:p>
    <w:p>
      <w:pPr>
        <w:pStyle w:val="FirstParagraph"/>
      </w:pPr>
      <w:r>
        <w:t xml:space="preserve">Quantitative data will be analyzed using statistical methods to identify significant differences between the three groups. Qualitative data will be analyzed thematically to identify patterns and insights related to the experiences of lawyers and clients in Australia Sydney. The integration of both data types will provide a comprehensive understanding of the effectiveness of different service delivery models.</w:t>
      </w:r>
    </w:p>
    <w:bookmarkEnd w:id="30"/>
    <w:bookmarkStart w:id="31" w:name="expected-outcomes"/>
    <w:p>
      <w:pPr>
        <w:pStyle w:val="Heading2"/>
      </w:pPr>
      <w:r>
        <w:t xml:space="preserve">7. Expected Outcomes</w:t>
      </w:r>
    </w:p>
    <w:p>
      <w:pPr>
        <w:pStyle w:val="FirstParagraph"/>
      </w:pPr>
      <w:r>
        <w:t xml:space="preserve">This experiment is expected to yield actionable insights for lawyers in Australia Sydney regarding:</w:t>
      </w:r>
    </w:p>
    <w:p>
      <w:pPr>
        <w:numPr>
          <w:ilvl w:val="0"/>
          <w:numId w:val="1006"/>
        </w:numPr>
        <w:pStyle w:val="Compact"/>
      </w:pPr>
      <w:r>
        <w:t xml:space="preserve">The most effective service delivery models for different types of legal matters.</w:t>
      </w:r>
    </w:p>
    <w:p>
      <w:pPr>
        <w:numPr>
          <w:ilvl w:val="0"/>
          <w:numId w:val="1006"/>
        </w:numPr>
        <w:pStyle w:val="Compact"/>
      </w:pPr>
      <w:r>
        <w:t xml:space="preserve">Strategies for improving client satisfaction and trust.</w:t>
      </w:r>
    </w:p>
    <w:p>
      <w:pPr>
        <w:numPr>
          <w:ilvl w:val="0"/>
          <w:numId w:val="1006"/>
        </w:numPr>
        <w:pStyle w:val="Compact"/>
      </w:pPr>
      <w:r>
        <w:t xml:space="preserve">Methods for enhancing operational efficiency without compromising service quality.</w:t>
      </w:r>
    </w:p>
    <w:p>
      <w:pPr>
        <w:numPr>
          <w:ilvl w:val="0"/>
          <w:numId w:val="1006"/>
        </w:numPr>
        <w:pStyle w:val="Compact"/>
      </w:pPr>
      <w:r>
        <w:t xml:space="preserve">Best practices for integrating technology into legal service delivery.</w:t>
      </w:r>
    </w:p>
    <w:bookmarkEnd w:id="31"/>
    <w:bookmarkStart w:id="32" w:name="dissemination-of-results"/>
    <w:p>
      <w:pPr>
        <w:pStyle w:val="Heading2"/>
      </w:pPr>
      <w:r>
        <w:t xml:space="preserve">8. Dissemination of Results</w:t>
      </w:r>
    </w:p>
    <w:p>
      <w:pPr>
        <w:pStyle w:val="FirstParagraph"/>
      </w:pPr>
      <w:r>
        <w:t xml:space="preserve">The findings of this experiment will be disseminated through academic publications, professional conferences, and reports tailored for lawyers and legal professionals in Australia Sydney. The results will also be shared with relevant regulatory bodies to inform policy discussions about legal service delivery in Australia.</w:t>
      </w:r>
    </w:p>
    <w:bookmarkEnd w:id="32"/>
    <w:p>
      <w:pPr>
        <w:pStyle w:val="BodyText"/>
      </w:pPr>
      <w:r>
        <w:t xml:space="preserve">This Experiment Protocol is designed for research purposes and should be adapted to comply with specific institutional and regulatory requirements in Australia Sydney.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Australia Sydney</dc:title>
  <dc:creator/>
  <dc:language>en</dc:language>
  <cp:keywords/>
  <dcterms:created xsi:type="dcterms:W3CDTF">2026-10-10T04:12:28Z</dcterms:created>
  <dcterms:modified xsi:type="dcterms:W3CDTF">2026-10-10T04:12:28Z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