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Service</w:t>
      </w:r>
      <w:r>
        <w:t xml:space="preserve"> </w:t>
      </w:r>
      <w:r>
        <w:t xml:space="preserve">Delivery</w:t>
      </w:r>
      <w:r>
        <w:t xml:space="preserve"> </w:t>
      </w:r>
      <w:r>
        <w:t xml:space="preserve">Optimization</w:t>
      </w:r>
      <w:r>
        <w:t xml:space="preserve"> </w:t>
      </w:r>
      <w:r>
        <w:t xml:space="preserve">in</w:t>
      </w:r>
      <w:r>
        <w:t xml:space="preserve"> </w:t>
      </w:r>
      <w:r>
        <w:t xml:space="preserve">Dhaka</w:t>
      </w:r>
    </w:p>
    <w:bookmarkStart w:id="20" w:name="X40b00c221ae7aba870cb0fb95a938d44a713b11"/>
    <w:p>
      <w:pPr>
        <w:pStyle w:val="Heading1"/>
      </w:pPr>
      <w:r>
        <w:t xml:space="preserve">Experiment Protocol: Enhancing Legal Service Delivery for Lawyers in Bangladesh Dhaka</w:t>
      </w:r>
    </w:p>
    <w:p>
      <w:pPr>
        <w:pStyle w:val="FirstParagraph"/>
      </w:pPr>
      <w:r>
        <w:rPr>
          <w:bCs/>
          <w:b/>
        </w:rPr>
        <w:t xml:space="preserve">Protocol ID:</w:t>
      </w:r>
      <w:r>
        <w:t xml:space="preserve"> </w:t>
      </w:r>
      <w:r>
        <w:t xml:space="preserve">BD-DH-LEGAL-2024-01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Dhaka, Bangladesh</w:t>
      </w:r>
    </w:p>
    <w:bookmarkEnd w:id="20"/>
    <w:bookmarkStart w:id="21" w:name="introduction-and-background"/>
    <w:p>
      <w:pPr>
        <w:pStyle w:val="Heading2"/>
      </w:pPr>
      <w:r>
        <w:t xml:space="preserve">1. Introduction and Background</w:t>
      </w:r>
    </w:p>
    <w:p>
      <w:pPr>
        <w:pStyle w:val="FirstParagraph"/>
      </w:pPr>
      <w:r>
        <w:t xml:space="preserve">The legal landscape in Bangladesh, particularly in the capital city of Dhaka, is characterized by a high volume of cases, complex procedural requirements, and significant challenges in access to justice. Lawyers in Dhaka often face difficulties related to case management, client communication, and navigating the dense legal framework. This experiment protocol outlines a structured approach to testing a new digital tool designed to streamline legal processes for lawyers operating in Dhaka.</w:t>
      </w:r>
    </w:p>
    <w:p>
      <w:pPr>
        <w:pStyle w:val="BodyText"/>
      </w:pPr>
      <w:r>
        <w:t xml:space="preserve">The primary objective is to evaluate the effectiveness of a proposed legal tech solution in improving efficiency, reducing administrative burdens, and enhancing client satisfaction among lawyers in Bangladesh Dhaka.</w:t>
      </w:r>
    </w:p>
    <w:bookmarkEnd w:id="21"/>
    <w:bookmarkStart w:id="22" w:name="objectives"/>
    <w:p>
      <w:pPr>
        <w:pStyle w:val="Heading2"/>
      </w:pPr>
      <w:r>
        <w:t xml:space="preserve">2. Objectives</w:t>
      </w:r>
    </w:p>
    <w:p>
      <w:pPr>
        <w:pStyle w:val="FirstParagraph"/>
      </w:pPr>
      <w:r>
        <w:t xml:space="preserve">The specific objectives of this experiment are:</w:t>
      </w:r>
    </w:p>
    <w:p>
      <w:pPr>
        <w:numPr>
          <w:ilvl w:val="0"/>
          <w:numId w:val="1001"/>
        </w:numPr>
        <w:pStyle w:val="Compact"/>
      </w:pPr>
      <w:r>
        <w:t xml:space="preserve">To assess the impact of the digital tool on the time spent by lawyers on administrative tasks.</w:t>
      </w:r>
    </w:p>
    <w:p>
      <w:pPr>
        <w:numPr>
          <w:ilvl w:val="0"/>
          <w:numId w:val="1001"/>
        </w:numPr>
        <w:pStyle w:val="Compact"/>
      </w:pPr>
      <w:r>
        <w:t xml:space="preserve">To measure changes in client satisfaction levels among users of the tool.</w:t>
      </w:r>
    </w:p>
    <w:p>
      <w:pPr>
        <w:numPr>
          <w:ilvl w:val="0"/>
          <w:numId w:val="1001"/>
        </w:numPr>
        <w:pStyle w:val="Compact"/>
      </w:pPr>
      <w:r>
        <w:t xml:space="preserve">To identify potential barriers to adoption of the tool within the legal community in Dhaka.</w:t>
      </w:r>
    </w:p>
    <w:p>
      <w:pPr>
        <w:numPr>
          <w:ilvl w:val="0"/>
          <w:numId w:val="1001"/>
        </w:numPr>
        <w:pStyle w:val="Compact"/>
      </w:pPr>
      <w:r>
        <w:t xml:space="preserve">To gather qualitative feedback from lawyers regarding the usability and functionality of the tool.</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randomized controlled trial (RCT) design. Lawyers in Dhaka will be randomly assigned to either the treatment group (using the digital tool) or the control group (continuing with their existing methods).</w:t>
      </w:r>
    </w:p>
    <w:bookmarkEnd w:id="23"/>
    <w:bookmarkStart w:id="24" w:name="participants"/>
    <w:p>
      <w:pPr>
        <w:pStyle w:val="Heading3"/>
      </w:pPr>
      <w:r>
        <w:t xml:space="preserve">3.2 Participants</w:t>
      </w:r>
    </w:p>
    <w:p>
      <w:pPr>
        <w:pStyle w:val="FirstParagraph"/>
      </w:pPr>
      <w:r>
        <w:t xml:space="preserve">The study will recruit 100 lawyers practicing in Dhaka, ensuring a diverse representation across different areas of law (e.g., civil, criminal, corporate). Participants will be selected through the Bangladesh Bar Council and local law firms.</w:t>
      </w:r>
    </w:p>
    <w:bookmarkEnd w:id="24"/>
    <w:bookmarkStart w:id="25" w:name="intervention"/>
    <w:p>
      <w:pPr>
        <w:pStyle w:val="Heading3"/>
      </w:pPr>
      <w:r>
        <w:t xml:space="preserve">3.3 Intervention</w:t>
      </w:r>
    </w:p>
    <w:p>
      <w:pPr>
        <w:pStyle w:val="FirstParagraph"/>
      </w:pPr>
      <w:r>
        <w:t xml:space="preserve">The treatment group will receive training on and access to the digital tool for a period of three months. The tool will offer features such as case management, document automation, and client communication platforms.</w:t>
      </w:r>
    </w:p>
    <w:bookmarkEnd w:id="25"/>
    <w:bookmarkEnd w:id="26"/>
    <w:bookmarkStart w:id="27" w:name="data-collection"/>
    <w:p>
      <w:pPr>
        <w:pStyle w:val="Heading2"/>
      </w:pPr>
      <w:r>
        <w:t xml:space="preserve">4. Data Collection</w:t>
      </w:r>
    </w:p>
    <w:p>
      <w:pPr>
        <w:pStyle w:val="FirstParagraph"/>
      </w:pPr>
      <w:r>
        <w:t xml:space="preserve">Data will be collected through multiple methods:</w:t>
      </w:r>
    </w:p>
    <w:p>
      <w:pPr>
        <w:numPr>
          <w:ilvl w:val="0"/>
          <w:numId w:val="1002"/>
        </w:numPr>
        <w:pStyle w:val="Compact"/>
      </w:pPr>
      <w:r>
        <w:rPr>
          <w:bCs/>
          <w:b/>
        </w:rPr>
        <w:t xml:space="preserve">Surveys:</w:t>
      </w:r>
      <w:r>
        <w:t xml:space="preserve"> </w:t>
      </w:r>
      <w:r>
        <w:t xml:space="preserve">Pre- and post-intervention surveys to measure changes in efficiency and satisfaction.</w:t>
      </w:r>
    </w:p>
    <w:p>
      <w:pPr>
        <w:numPr>
          <w:ilvl w:val="0"/>
          <w:numId w:val="1002"/>
        </w:numPr>
        <w:pStyle w:val="Compact"/>
      </w:pPr>
      <w:r>
        <w:rPr>
          <w:bCs/>
          <w:b/>
        </w:rPr>
        <w:t xml:space="preserve">Interviews:</w:t>
      </w:r>
      <w:r>
        <w:t xml:space="preserve"> </w:t>
      </w:r>
      <w:r>
        <w:t xml:space="preserve">Semi-structured interviews with a subset of participants to gather in-depth feedback.</w:t>
      </w:r>
    </w:p>
    <w:p>
      <w:pPr>
        <w:numPr>
          <w:ilvl w:val="0"/>
          <w:numId w:val="1002"/>
        </w:numPr>
        <w:pStyle w:val="Compact"/>
      </w:pPr>
      <w:r>
        <w:rPr>
          <w:bCs/>
          <w:b/>
        </w:rPr>
        <w:t xml:space="preserve">Usage Analytics:</w:t>
      </w:r>
      <w:r>
        <w:t xml:space="preserve"> </w:t>
      </w:r>
      <w:r>
        <w:t xml:space="preserve">Data on tool usage patterns and features utilized.</w:t>
      </w:r>
    </w:p>
    <w:bookmarkEnd w:id="27"/>
    <w:bookmarkStart w:id="28" w:name="ethical-considerations"/>
    <w:p>
      <w:pPr>
        <w:pStyle w:val="Heading2"/>
      </w:pPr>
      <w:r>
        <w:t xml:space="preserve">5. Ethical Considerations</w:t>
      </w:r>
    </w:p>
    <w:p>
      <w:pPr>
        <w:pStyle w:val="FirstParagraph"/>
      </w:pPr>
      <w:r>
        <w:t xml:space="preserve">This experiment will adhere to ethical guidelines for research involving human subjects. Informed consent will be obtained from all participants, and confidentiality will be maintained throughout the study. The protocol has been reviewed and approved by an independent ethics committee.</w:t>
      </w:r>
    </w:p>
    <w:bookmarkEnd w:id="28"/>
    <w:bookmarkStart w:id="29" w:name="timeline"/>
    <w:p>
      <w:pPr>
        <w:pStyle w:val="Heading2"/>
      </w:pPr>
      <w:r>
        <w:t xml:space="preserve">6. Timeline</w:t>
      </w:r>
    </w:p>
    <w:p>
      <w:pPr>
        <w:numPr>
          <w:ilvl w:val="0"/>
          <w:numId w:val="1003"/>
        </w:numPr>
        <w:pStyle w:val="Compact"/>
      </w:pPr>
      <w:r>
        <w:rPr>
          <w:bCs/>
          <w:b/>
        </w:rPr>
        <w:t xml:space="preserve">Month 1:</w:t>
      </w:r>
      <w:r>
        <w:t xml:space="preserve"> </w:t>
      </w:r>
      <w:r>
        <w:t xml:space="preserve">Recruitment and baseline data collection.</w:t>
      </w:r>
    </w:p>
    <w:p>
      <w:pPr>
        <w:numPr>
          <w:ilvl w:val="0"/>
          <w:numId w:val="1003"/>
        </w:numPr>
        <w:pStyle w:val="Compact"/>
      </w:pPr>
      <w:r>
        <w:rPr>
          <w:bCs/>
          <w:b/>
        </w:rPr>
        <w:t xml:space="preserve">Months 2-4:</w:t>
      </w:r>
      <w:r>
        <w:t xml:space="preserve"> </w:t>
      </w:r>
      <w:r>
        <w:t xml:space="preserve">Intervention period.</w:t>
      </w:r>
    </w:p>
    <w:p>
      <w:pPr>
        <w:numPr>
          <w:ilvl w:val="0"/>
          <w:numId w:val="1003"/>
        </w:numPr>
        <w:pStyle w:val="Compact"/>
      </w:pPr>
      <w:r>
        <w:rPr>
          <w:bCs/>
          <w:b/>
        </w:rPr>
        <w:t xml:space="preserve">Month 5:</w:t>
      </w:r>
      <w:r>
        <w:t xml:space="preserve"> </w:t>
      </w:r>
      <w:r>
        <w:t xml:space="preserve">Post-intervention data collection and analysis.</w:t>
      </w:r>
    </w:p>
    <w:p>
      <w:pPr>
        <w:numPr>
          <w:ilvl w:val="0"/>
          <w:numId w:val="1003"/>
        </w:numPr>
        <w:pStyle w:val="Compact"/>
      </w:pPr>
      <w:r>
        <w:rPr>
          <w:bCs/>
          <w:b/>
        </w:rPr>
        <w:t xml:space="preserve">Month 6:</w:t>
      </w:r>
      <w:r>
        <w:t xml:space="preserve"> </w:t>
      </w:r>
      <w:r>
        <w:t xml:space="preserve">Reporting and dissemination of findings.</w:t>
      </w:r>
    </w:p>
    <w:bookmarkEnd w:id="29"/>
    <w:bookmarkStart w:id="30" w:name="expected-outcomes"/>
    <w:p>
      <w:pPr>
        <w:pStyle w:val="Heading2"/>
      </w:pPr>
      <w:r>
        <w:t xml:space="preserve">7. Expected Outcomes</w:t>
      </w:r>
    </w:p>
    <w:p>
      <w:pPr>
        <w:pStyle w:val="FirstParagraph"/>
      </w:pPr>
      <w:r>
        <w:t xml:space="preserve">We anticipate that the digital tool will significantly reduce the time lawyers spend on administrative tasks, improve client satisfaction, and enhance overall efficiency in legal service delivery in Dhaka. The findings will provide valuable insights for policymakers, legal practitioners, and technology developers in Bangladesh.</w:t>
      </w:r>
    </w:p>
    <w:bookmarkEnd w:id="30"/>
    <w:bookmarkStart w:id="31" w:name="conclusion"/>
    <w:p>
      <w:pPr>
        <w:pStyle w:val="Heading2"/>
      </w:pPr>
      <w:r>
        <w:t xml:space="preserve">8. Conclusion</w:t>
      </w:r>
    </w:p>
    <w:p>
      <w:pPr>
        <w:pStyle w:val="FirstParagraph"/>
      </w:pPr>
      <w:r>
        <w:t xml:space="preserve">This experiment protocol outlines a rigorous approach to evaluating a digital tool designed to support lawyers in Bangladesh Dhaka. By systematically assessing its impact, we aim to contribute to the modernization of legal services and improve access to justice 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Service Delivery Optimization in Dhaka</dc:title>
  <dc:creator/>
  <dc:language>en</dc:language>
  <cp:keywords/>
  <dcterms:created xsi:type="dcterms:W3CDTF">2026-10-10T05:49:39Z</dcterms:created>
  <dcterms:modified xsi:type="dcterms:W3CDTF">2026-10-10T05:49:39Z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