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Brasília</w:t>
      </w:r>
    </w:p>
    <w:bookmarkStart w:id="31" w:name="X983d1579dc9103611cd5241b66d79d2f15b8518"/>
    <w:p>
      <w:pPr>
        <w:pStyle w:val="Heading1"/>
      </w:pPr>
      <w:r>
        <w:t xml:space="preserve">Experiment Protocol: Comparative Analysis of Legal Service Delivery Models in Brazil Brasília</w:t>
      </w:r>
    </w:p>
    <w:bookmarkStart w:id="20" w:name="introduction-and-background"/>
    <w:p>
      <w:pPr>
        <w:pStyle w:val="Heading2"/>
      </w:pPr>
      <w:r>
        <w:t xml:space="preserve">1. Introduction and Background</w:t>
      </w:r>
    </w:p>
    <w:p>
      <w:pPr>
        <w:pStyle w:val="FirstParagraph"/>
      </w:pPr>
      <w:r>
        <w:t xml:space="preserve">The legal landscape in Brazil is characterized by a complex regulatory framework and a high volume of litigation. As the capital of Brazil, Brasília presents a unique environment for legal practice due to its concentration of federal government institutions, the Supreme Federal Court (STF), and the Superior Court of Justice (STJ). This Experiment Protocol outlines a structured study designed to evaluate the efficiency, accessibility, and client satisfaction levels of traditional versus technology-enhanced legal service delivery models specifically within the jurisdiction of Brasília.</w:t>
      </w:r>
    </w:p>
    <w:p>
      <w:pPr>
        <w:pStyle w:val="BodyText"/>
      </w:pPr>
      <w:r>
        <w:t xml:space="preserve">The primary objective is to determine how modern legal tech tools can optimize the workflow of a Lawyer operating in the federal capital, where procedural deadlines are strict and the volume of administrative and constitutional cases is exceptionally high.</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time efficiency of case management using AI-driven legal research tools compared to traditional manual research methods for Lawyers in Brasília.</w:t>
      </w:r>
    </w:p>
    <w:p>
      <w:pPr>
        <w:numPr>
          <w:ilvl w:val="0"/>
          <w:numId w:val="1001"/>
        </w:numPr>
        <w:pStyle w:val="Compact"/>
      </w:pPr>
      <w:r>
        <w:t xml:space="preserve">To assess the impact of digital communication platforms on client satisfaction rates in federal administrative law cases.</w:t>
      </w:r>
    </w:p>
    <w:p>
      <w:pPr>
        <w:numPr>
          <w:ilvl w:val="0"/>
          <w:numId w:val="1001"/>
        </w:numPr>
        <w:pStyle w:val="Compact"/>
      </w:pPr>
      <w:r>
        <w:t xml:space="preserve">To analyze the cost-effectiveness of remote legal consultations versus in-person meetings at law firms located in the Asa Norte and Asa Sul districts of Brasília.</w:t>
      </w:r>
    </w:p>
    <w:p>
      <w:pPr>
        <w:numPr>
          <w:ilvl w:val="0"/>
          <w:numId w:val="1001"/>
        </w:numPr>
        <w:pStyle w:val="Compact"/>
      </w:pPr>
      <w:r>
        <w:t xml:space="preserve">To evaluate the accuracy of legal predictions regarding outcomes in the Federal Regional Court of the 1st Region (TRF1).</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Participating law firms in Brasília will be divided into two groups: the Control Group and the Experimental Group. Both groups will consist of qualified Lawyers registered with the Brasília Section of the Brazilian Bar Association (OAB/DF).</w:t>
      </w:r>
    </w:p>
    <w:bookmarkEnd w:id="22"/>
    <w:bookmarkStart w:id="23" w:name="participants"/>
    <w:p>
      <w:pPr>
        <w:pStyle w:val="Heading3"/>
      </w:pPr>
      <w:r>
        <w:t xml:space="preserve">3.2 Participants</w:t>
      </w:r>
    </w:p>
    <w:p>
      <w:pPr>
        <w:pStyle w:val="FirstParagraph"/>
      </w:pPr>
      <w:r>
        <w:t xml:space="preserve">The sample size will include 60 Lawyers specializing in administrative and constitutional law. These professionals will be selected based on their experience level (minimum 5 years) and their active practice in Brasília. The participants will handle a standardized set of simulated cases involving federal public administration disputes, which are common in the region.</w:t>
      </w:r>
    </w:p>
    <w:bookmarkEnd w:id="23"/>
    <w:bookmarkStart w:id="24" w:name="intervention"/>
    <w:p>
      <w:pPr>
        <w:pStyle w:val="Heading3"/>
      </w:pPr>
      <w:r>
        <w:t xml:space="preserve">3.3 Intervention</w:t>
      </w:r>
    </w:p>
    <w:p>
      <w:pPr>
        <w:pStyle w:val="FirstParagraph"/>
      </w:pPr>
      <w:r>
        <w:rPr>
          <w:bCs/>
          <w:b/>
        </w:rPr>
        <w:t xml:space="preserve">Control Group:</w:t>
      </w:r>
      <w:r>
        <w:t xml:space="preserve"> </w:t>
      </w:r>
      <w:r>
        <w:t xml:space="preserve">Lawyers will utilize traditional methods, including physical library research, manual document drafting, and in-person client meetings.</w:t>
      </w:r>
      <w:r>
        <w:br/>
      </w:r>
      <w:r>
        <w:br/>
      </w:r>
      <w:r>
        <w:rPr>
          <w:bCs/>
          <w:b/>
        </w:rPr>
        <w:t xml:space="preserve">Experimental Group:</w:t>
      </w:r>
      <w:r>
        <w:t xml:space="preserve"> </w:t>
      </w:r>
      <w:r>
        <w:t xml:space="preserve">Lawyers will utilize an integrated legal tech suite featuring AI-powered case law analysis, automated document generation, and secure video conferencing tools tailored for the Brazilian legal market.</w:t>
      </w:r>
    </w:p>
    <w:bookmarkEnd w:id="24"/>
    <w:bookmarkStart w:id="25" w:name="procedure"/>
    <w:p>
      <w:pPr>
        <w:pStyle w:val="Heading3"/>
      </w:pPr>
      <w:r>
        <w:t xml:space="preserve">3.4 Procedure</w:t>
      </w:r>
    </w:p>
    <w:p>
      <w:pPr>
        <w:pStyle w:val="FirstParagraph"/>
      </w:pPr>
      <w:r>
        <w:t xml:space="preserve">The experiment will run for a period of six months. Each Lawyer will be assigned five identical hypothetical cases involving disputes with federal agencies headquartered in Brasília. The cases will require research into specific federal laws, drafting of initial petitions, and preparation for oral arguments.</w:t>
      </w:r>
    </w:p>
    <w:p>
      <w:pPr>
        <w:pStyle w:val="BodyText"/>
      </w:pPr>
      <w:r>
        <w:t xml:space="preserve">Data collection will occur at three intervals:</w:t>
      </w:r>
    </w:p>
    <w:p>
      <w:pPr>
        <w:numPr>
          <w:ilvl w:val="0"/>
          <w:numId w:val="1002"/>
        </w:numPr>
        <w:pStyle w:val="Compact"/>
      </w:pPr>
      <w:r>
        <w:rPr>
          <w:bCs/>
          <w:b/>
        </w:rPr>
        <w:t xml:space="preserve">Baseline:</w:t>
      </w:r>
      <w:r>
        <w:t xml:space="preserve"> </w:t>
      </w:r>
      <w:r>
        <w:t xml:space="preserve">Initial assessment of Lawyer proficiency and familiarity with technology.</w:t>
      </w:r>
    </w:p>
    <w:p>
      <w:pPr>
        <w:numPr>
          <w:ilvl w:val="0"/>
          <w:numId w:val="1002"/>
        </w:numPr>
        <w:pStyle w:val="Compact"/>
      </w:pPr>
      <w:r>
        <w:rPr>
          <w:bCs/>
          <w:b/>
        </w:rPr>
        <w:t xml:space="preserve">Mid-point:</w:t>
      </w:r>
      <w:r>
        <w:t xml:space="preserve"> </w:t>
      </w:r>
      <w:r>
        <w:t xml:space="preserve">Evaluation of progress on the first three cases.</w:t>
      </w:r>
    </w:p>
    <w:p>
      <w:pPr>
        <w:numPr>
          <w:ilvl w:val="0"/>
          <w:numId w:val="1002"/>
        </w:numPr>
        <w:pStyle w:val="Compact"/>
      </w:pPr>
      <w:r>
        <w:rPr>
          <w:bCs/>
          <w:b/>
        </w:rPr>
        <w:t xml:space="preserve">Final:</w:t>
      </w:r>
      <w:r>
        <w:t xml:space="preserve"> </w:t>
      </w:r>
      <w:r>
        <w:t xml:space="preserve">Comprehensive review of all five cases, including time logs, cost analysis, and client feedback surveys.</w:t>
      </w:r>
    </w:p>
    <w:bookmarkEnd w:id="25"/>
    <w:bookmarkEnd w:id="26"/>
    <w:bookmarkStart w:id="27" w:name="data-collection-and-metrics"/>
    <w:p>
      <w:pPr>
        <w:pStyle w:val="Heading2"/>
      </w:pPr>
      <w:r>
        <w:t xml:space="preserve">4. Data Collection and Metrics</w:t>
      </w:r>
    </w:p>
    <w:p>
      <w:pPr>
        <w:pStyle w:val="FirstParagraph"/>
      </w:pPr>
      <w:r>
        <w:t xml:space="preserve">The following key performance indicators (KPIs) will be measured to ensure the validity of the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Time Efficiency</w:t>
            </w:r>
          </w:p>
        </w:tc>
        <w:tc>
          <w:tcPr/>
          <w:p>
            <w:pPr>
              <w:pStyle w:val="Compact"/>
              <w:jc w:val="left"/>
            </w:pPr>
            <w:r>
              <w:t xml:space="preserve">Total hours spent on research, drafting, and client communication per case.</w:t>
            </w:r>
          </w:p>
        </w:tc>
        <w:tc>
          <w:tcPr/>
          <w:p>
            <w:pPr>
              <w:pStyle w:val="Compact"/>
              <w:jc w:val="left"/>
            </w:pPr>
            <w:r>
              <w:t xml:space="preserve">Time-tracking software</w:t>
            </w:r>
          </w:p>
        </w:tc>
      </w:tr>
      <w:tr>
        <w:tc>
          <w:tcPr/>
          <w:p>
            <w:pPr>
              <w:pStyle w:val="Compact"/>
              <w:jc w:val="left"/>
            </w:pPr>
            <w:r>
              <w:t xml:space="preserve">Cost Efficiency</w:t>
            </w:r>
          </w:p>
        </w:tc>
        <w:tc>
          <w:tcPr/>
          <w:p>
            <w:pPr>
              <w:pStyle w:val="Compact"/>
              <w:jc w:val="left"/>
            </w:pPr>
            <w:r>
              <w:t xml:space="preserve">Operational costs incurred per case, including overhead and technology subscriptions.</w:t>
            </w:r>
          </w:p>
        </w:tc>
        <w:tc>
          <w:tcPr/>
          <w:p>
            <w:pPr>
              <w:pStyle w:val="Compact"/>
              <w:jc w:val="left"/>
            </w:pPr>
            <w:r>
              <w:t xml:space="preserve">Financial audit logs</w:t>
            </w:r>
          </w:p>
        </w:tc>
      </w:tr>
      <w:tr>
        <w:tc>
          <w:tcPr/>
          <w:p>
            <w:pPr>
              <w:pStyle w:val="Compact"/>
              <w:jc w:val="left"/>
            </w:pPr>
            <w:r>
              <w:t xml:space="preserve">Client Satisfaction</w:t>
            </w:r>
          </w:p>
        </w:tc>
        <w:tc>
          <w:tcPr/>
          <w:p>
            <w:pPr>
              <w:pStyle w:val="Compact"/>
              <w:jc w:val="left"/>
            </w:pPr>
            <w:r>
              <w:t xml:space="preserve">Client ratings on communication clarity, responsiveness, and overall service quality.</w:t>
            </w:r>
          </w:p>
        </w:tc>
        <w:tc>
          <w:tcPr/>
          <w:p>
            <w:pPr>
              <w:pStyle w:val="Compact"/>
              <w:jc w:val="left"/>
            </w:pPr>
            <w:r>
              <w:t xml:space="preserve">Post-case survey (Likert scale)</w:t>
            </w:r>
          </w:p>
        </w:tc>
      </w:tr>
      <w:tr>
        <w:tc>
          <w:tcPr/>
          <w:p>
            <w:pPr>
              <w:pStyle w:val="Compact"/>
              <w:jc w:val="left"/>
            </w:pPr>
            <w:r>
              <w:t xml:space="preserve">Legal Accuracy</w:t>
            </w:r>
          </w:p>
        </w:tc>
        <w:tc>
          <w:tcPr/>
          <w:p>
            <w:pPr>
              <w:pStyle w:val="Compact"/>
              <w:jc w:val="left"/>
            </w:pPr>
            <w:r>
              <w:t xml:space="preserve">Quality of legal arguments and citation accuracy as evaluated by a panel of senior judges from Brasília.</w:t>
            </w:r>
          </w:p>
        </w:tc>
        <w:tc>
          <w:tcPr/>
          <w:p>
            <w:pPr>
              <w:pStyle w:val="Compact"/>
              <w:jc w:val="left"/>
            </w:pPr>
            <w:r>
              <w:t xml:space="preserve">Expert review panel</w:t>
            </w:r>
          </w:p>
        </w:tc>
      </w:tr>
    </w:tbl>
    <w:bookmarkEnd w:id="27"/>
    <w:bookmarkStart w:id="28" w:name="ethical-considerations"/>
    <w:p>
      <w:pPr>
        <w:pStyle w:val="Heading2"/>
      </w:pPr>
      <w:r>
        <w:t xml:space="preserve">5. Ethical Considerations</w:t>
      </w:r>
    </w:p>
    <w:p>
      <w:pPr>
        <w:pStyle w:val="FirstParagraph"/>
      </w:pPr>
      <w:r>
        <w:t xml:space="preserve">This Experiment Protocol adheres to the ethical guidelines established by the OAB/DF and the Brazilian General Data Protection Law (LGPD). All participant data, including Lawyer performance metrics and client feedback, will be anonymized. Informed consent will be obtained from all participating Lawyers and simulated clients. The study ensures that no real client cases are compromised during the experiment.</w:t>
      </w:r>
    </w:p>
    <w:bookmarkEnd w:id="28"/>
    <w:bookmarkStart w:id="29" w:name="expected-outcomes"/>
    <w:p>
      <w:pPr>
        <w:pStyle w:val="Heading2"/>
      </w:pPr>
      <w:r>
        <w:t xml:space="preserve">6. Expected Outcomes</w:t>
      </w:r>
    </w:p>
    <w:p>
      <w:pPr>
        <w:pStyle w:val="FirstParagraph"/>
      </w:pPr>
      <w:r>
        <w:t xml:space="preserve">It is hypothesized that the Experimental Group will demonstrate a 20-30% reduction in time spent on legal research and document drafting compared to the Control Group. Additionally, client satisfaction scores are expected to be higher in the Experimental Group due to improved communication channels and faster response times. These findings will provide valuable insights for Law firms in Brazil Brasília seeking to modernize their practices while maintaining high standards of legal excellence.</w:t>
      </w:r>
    </w:p>
    <w:bookmarkEnd w:id="29"/>
    <w:bookmarkStart w:id="30" w:name="conclusion"/>
    <w:p>
      <w:pPr>
        <w:pStyle w:val="Heading2"/>
      </w:pPr>
      <w:r>
        <w:t xml:space="preserve">7. Conclusion</w:t>
      </w:r>
    </w:p>
    <w:p>
      <w:pPr>
        <w:pStyle w:val="FirstParagraph"/>
      </w:pPr>
      <w:r>
        <w:t xml:space="preserve">This Experiment Protocol provides a rigorous framework for evaluating the integration of technology in legal practice within the unique context of Brasília. By focusing on the specific needs of Lawyers operating in the federal capital, the study aims to contribute to the broader discourse on legal innovation in Brazil. The results will inform best practices for enhancing efficiency, reducing costs, and improving access to justice in one of the most critical legal jurisdictions in the country.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Brasília</dc:title>
  <dc:creator/>
  <dc:language>en</dc:language>
  <cp:keywords/>
  <dcterms:created xsi:type="dcterms:W3CDTF">2026-10-10T04:34:22Z</dcterms:created>
  <dcterms:modified xsi:type="dcterms:W3CDTF">2026-10-10T04:34:22Z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