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Adaptation</w:t>
      </w:r>
      <w:r>
        <w:t xml:space="preserve"> </w:t>
      </w:r>
      <w:r>
        <w:t xml:space="preserve">in</w:t>
      </w:r>
      <w:r>
        <w:t xml:space="preserve"> </w:t>
      </w:r>
      <w:r>
        <w:t xml:space="preserve">Canada</w:t>
      </w:r>
      <w:r>
        <w:t xml:space="preserve"> </w:t>
      </w:r>
      <w:r>
        <w:t xml:space="preserve">Montreal</w:t>
      </w:r>
    </w:p>
    <w:bookmarkStart w:id="35" w:name="X539f9990863e30c6667e480a811dd6a3300ab42"/>
    <w:p>
      <w:pPr>
        <w:pStyle w:val="Heading1"/>
      </w:pPr>
      <w:r>
        <w:t xml:space="preserve">Experiment Protocol: Comparative Analysis of Legal Practice Adaptation for Lawyers in Canada Montreal</w:t>
      </w:r>
    </w:p>
    <w:bookmarkStart w:id="20" w:name="introduction-and-background"/>
    <w:p>
      <w:pPr>
        <w:pStyle w:val="Heading2"/>
      </w:pPr>
      <w:r>
        <w:t xml:space="preserve">1. Introduction and Background</w:t>
      </w:r>
    </w:p>
    <w:p>
      <w:pPr>
        <w:pStyle w:val="FirstParagraph"/>
      </w:pPr>
      <w:r>
        <w:t xml:space="preserve">This Experiment Protocol outlines the methodology for a structured study examining the adaptation strategies, professional challenges, and regulatory compliance requirements for lawyers practicing in Canada Montreal. Montreal, as a bilingual jurisdiction within the province of Quebec, presents a unique legal environment governed by the Civil Code of Quebec alongside federal Canadian statutes. This experiment aims to evaluate how lawyers, particularly those transitioning from common law jurisdictions or newly admitted to the Bar of Quebec, navigate the dual legal systems, linguistic requirements, and cultural nuances inherent to legal practice in this region.</w:t>
      </w:r>
    </w:p>
    <w:p>
      <w:pPr>
        <w:pStyle w:val="BodyText"/>
      </w:pPr>
      <w:r>
        <w:t xml:space="preserve">The significance of this study lies in the growing demand for legal services in Canada Montreal that require cross-jurisdictional expertise. Understanding the practical experiences of lawyers in this context can inform professional development programs, regulatory policies, and support mechanisms for legal practitioners.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current adaptation strategies employed by lawyers practicing in Canada Montreal.</w:t>
      </w:r>
    </w:p>
    <w:p>
      <w:pPr>
        <w:numPr>
          <w:ilvl w:val="0"/>
          <w:numId w:val="1001"/>
        </w:numPr>
        <w:pStyle w:val="Compact"/>
      </w:pPr>
      <w:r>
        <w:t xml:space="preserve">To identify key challenges related to bilingualism, civil law vs. common law differences, and cultural integration.</w:t>
      </w:r>
    </w:p>
    <w:p>
      <w:pPr>
        <w:numPr>
          <w:ilvl w:val="0"/>
          <w:numId w:val="1001"/>
        </w:numPr>
        <w:pStyle w:val="Compact"/>
      </w:pPr>
      <w:r>
        <w:t xml:space="preserve">To evaluate the impact of regulatory requirements set by the Barreau du Québec on professional practice.</w:t>
      </w:r>
    </w:p>
    <w:p>
      <w:pPr>
        <w:numPr>
          <w:ilvl w:val="0"/>
          <w:numId w:val="1001"/>
        </w:numPr>
        <w:pStyle w:val="Compact"/>
      </w:pPr>
      <w:r>
        <w:t xml:space="preserve">To develop evidence-based recommendations for improving support systems for lawyers in this jurisdiction.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be conducted over a period of 12 months to capture longitudinal data on adaptation processes.</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Lawyers admitted to the Barreau du Québec within the last five years.</w:t>
      </w:r>
    </w:p>
    <w:p>
      <w:pPr>
        <w:numPr>
          <w:ilvl w:val="0"/>
          <w:numId w:val="1002"/>
        </w:numPr>
        <w:pStyle w:val="Compact"/>
      </w:pPr>
      <w:r>
        <w:t xml:space="preserve">Lawyers transitioning from other Canadian provinces or international jurisdictions to practice in Canada Montreal.</w:t>
      </w:r>
    </w:p>
    <w:p>
      <w:pPr>
        <w:numPr>
          <w:ilvl w:val="0"/>
          <w:numId w:val="1002"/>
        </w:numPr>
        <w:pStyle w:val="Compact"/>
      </w:pPr>
      <w:r>
        <w:t xml:space="preserve">Legal professionals specializing in areas heavily influenced by Quebec civil law, such as family law, property law, and succession law.</w:t>
      </w:r>
    </w:p>
    <w:p>
      <w:pPr>
        <w:pStyle w:val="FirstParagraph"/>
      </w:pPr>
      <w:r>
        <w:t xml:space="preserve">A minimum sample size of 150 participants will be targeted to ensure statistical significance.</w:t>
      </w:r>
    </w:p>
    <w:bookmarkEnd w:id="23"/>
    <w:bookmarkStart w:id="24" w:name="data-collection-instruments"/>
    <w:p>
      <w:pPr>
        <w:pStyle w:val="Heading3"/>
      </w:pPr>
      <w:r>
        <w:t xml:space="preserve">3.3 Data Collection Instruments</w:t>
      </w:r>
    </w:p>
    <w:p>
      <w:pPr>
        <w:pStyle w:val="FirstParagraph"/>
      </w:pPr>
      <w:r>
        <w:t xml:space="preserve">Data will be collected using:</w:t>
      </w:r>
    </w:p>
    <w:p>
      <w:pPr>
        <w:numPr>
          <w:ilvl w:val="0"/>
          <w:numId w:val="1003"/>
        </w:numPr>
        <w:pStyle w:val="Compact"/>
      </w:pPr>
      <w:r>
        <w:t xml:space="preserve">Structured surveys measuring adaptation levels, job satisfaction, and perceived challenges.</w:t>
      </w:r>
    </w:p>
    <w:p>
      <w:pPr>
        <w:numPr>
          <w:ilvl w:val="0"/>
          <w:numId w:val="1003"/>
        </w:numPr>
        <w:pStyle w:val="Compact"/>
      </w:pPr>
      <w:r>
        <w:t xml:space="preserve">Semi-structured interviews exploring personal experiences, regulatory hurdles, and cultural integration.</w:t>
      </w:r>
    </w:p>
    <w:p>
      <w:pPr>
        <w:numPr>
          <w:ilvl w:val="0"/>
          <w:numId w:val="1003"/>
        </w:numPr>
        <w:pStyle w:val="Compact"/>
      </w:pPr>
      <w:r>
        <w:t xml:space="preserve">Document analysis of regulatory guidelines from the Barreau du Québec and relevant Canadian legal authorities.</w:t>
      </w:r>
    </w:p>
    <w:bookmarkEnd w:id="24"/>
    <w:bookmarkEnd w:id="25"/>
    <w:bookmarkStart w:id="30" w:name="procedures"/>
    <w:p>
      <w:pPr>
        <w:pStyle w:val="Heading2"/>
      </w:pPr>
      <w:r>
        <w:t xml:space="preserve">4. Procedures</w:t>
      </w:r>
    </w:p>
    <w:bookmarkStart w:id="26" w:name="recruitment"/>
    <w:p>
      <w:pPr>
        <w:pStyle w:val="Heading3"/>
      </w:pPr>
      <w:r>
        <w:t xml:space="preserve">4.1 Recruitment</w:t>
      </w:r>
    </w:p>
    <w:p>
      <w:pPr>
        <w:pStyle w:val="FirstParagraph"/>
      </w:pPr>
      <w:r>
        <w:t xml:space="preserve">Participants will be recruited through the Barreau du Québec, legal associations in Canada Montreal, and professional networks. Informed consent will be obtained from all participants prior to data collection.</w:t>
      </w:r>
    </w:p>
    <w:bookmarkEnd w:id="26"/>
    <w:bookmarkStart w:id="27" w:name="survey-administration"/>
    <w:p>
      <w:pPr>
        <w:pStyle w:val="Heading3"/>
      </w:pPr>
      <w:r>
        <w:t xml:space="preserve">4.2 Survey Administration</w:t>
      </w:r>
    </w:p>
    <w:p>
      <w:pPr>
        <w:pStyle w:val="FirstParagraph"/>
      </w:pPr>
      <w:r>
        <w:t xml:space="preserve">Surveys will be administered online in both English and French to accommodate the bilingual nature of Canada Montreal. The survey will include Likert-scale questions and open-ended items to capture nuanced responses.</w:t>
      </w:r>
    </w:p>
    <w:bookmarkEnd w:id="27"/>
    <w:bookmarkStart w:id="28" w:name="interviews"/>
    <w:p>
      <w:pPr>
        <w:pStyle w:val="Heading3"/>
      </w:pPr>
      <w:r>
        <w:t xml:space="preserve">4.3 Interviews</w:t>
      </w:r>
    </w:p>
    <w:p>
      <w:pPr>
        <w:pStyle w:val="FirstParagraph"/>
      </w:pPr>
      <w:r>
        <w:t xml:space="preserve">Interviews will be conducted virtually or in person, depending on participant preference. Each interview will last approximately 45–60 minutes and will be audio-recorded with consent for transcription and analysis.</w:t>
      </w:r>
    </w:p>
    <w:bookmarkEnd w:id="28"/>
    <w:bookmarkStart w:id="29" w:name="timeline"/>
    <w:p>
      <w:pPr>
        <w:pStyle w:val="Heading3"/>
      </w:pPr>
      <w:r>
        <w:t xml:space="preserve">4.4 Timeline</w:t>
      </w:r>
    </w:p>
    <w:p>
      <w:pPr>
        <w:numPr>
          <w:ilvl w:val="0"/>
          <w:numId w:val="1004"/>
        </w:numPr>
        <w:pStyle w:val="Compact"/>
      </w:pPr>
      <w:r>
        <w:t xml:space="preserve">Months 1–2: Recruitment and consent.</w:t>
      </w:r>
    </w:p>
    <w:p>
      <w:pPr>
        <w:numPr>
          <w:ilvl w:val="0"/>
          <w:numId w:val="1004"/>
        </w:numPr>
        <w:pStyle w:val="Compact"/>
      </w:pPr>
      <w:r>
        <w:t xml:space="preserve">Months 3–6: Survey distribution and data collection.</w:t>
      </w:r>
    </w:p>
    <w:p>
      <w:pPr>
        <w:numPr>
          <w:ilvl w:val="0"/>
          <w:numId w:val="1004"/>
        </w:numPr>
        <w:pStyle w:val="Compact"/>
      </w:pPr>
      <w:r>
        <w:t xml:space="preserve">Months 7–9: Conducting interviews.</w:t>
      </w:r>
    </w:p>
    <w:p>
      <w:pPr>
        <w:numPr>
          <w:ilvl w:val="0"/>
          <w:numId w:val="1004"/>
        </w:numPr>
        <w:pStyle w:val="Compact"/>
      </w:pPr>
      <w:r>
        <w:t xml:space="preserve">Months 10–12: Data analysis and report preparation.</w:t>
      </w:r>
    </w:p>
    <w:bookmarkEnd w:id="29"/>
    <w:bookmarkEnd w:id="30"/>
    <w:bookmarkStart w:id="31" w:name="ethical-considerations"/>
    <w:p>
      <w:pPr>
        <w:pStyle w:val="Heading2"/>
      </w:pPr>
      <w:r>
        <w:t xml:space="preserve">5. Ethical Considerations</w:t>
      </w:r>
    </w:p>
    <w:p>
      <w:pPr>
        <w:pStyle w:val="FirstParagraph"/>
      </w:pPr>
      <w:r>
        <w:t xml:space="preserve">This experiment will adhere to ethical guidelines established by Canadian research institutions and the Barreau du Québec. Key considerations include:</w:t>
      </w:r>
    </w:p>
    <w:p>
      <w:pPr>
        <w:numPr>
          <w:ilvl w:val="0"/>
          <w:numId w:val="1005"/>
        </w:numPr>
        <w:pStyle w:val="Compact"/>
      </w:pPr>
      <w:r>
        <w:t xml:space="preserve">Confidentiality: All participant data will be anonymized and stored securely.</w:t>
      </w:r>
    </w:p>
    <w:p>
      <w:pPr>
        <w:numPr>
          <w:ilvl w:val="0"/>
          <w:numId w:val="1005"/>
        </w:numPr>
        <w:pStyle w:val="Compact"/>
      </w:pPr>
      <w:r>
        <w:t xml:space="preserve">Informed Consent: Participants will be fully informed about the study’s purpose, procedures, and their rights.</w:t>
      </w:r>
    </w:p>
    <w:p>
      <w:pPr>
        <w:numPr>
          <w:ilvl w:val="0"/>
          <w:numId w:val="1005"/>
        </w:numPr>
        <w:pStyle w:val="Compact"/>
      </w:pPr>
      <w:r>
        <w:t xml:space="preserve">Voluntary Participation: Participants may withdraw from the study at any time without penalty.</w:t>
      </w:r>
    </w:p>
    <w:p>
      <w:pPr>
        <w:pStyle w:val="FirstParagraph"/>
      </w:pPr>
      <w:r>
        <w:t xml:space="preserve">Approval will be sought from an institutional review board (IRB) or ethics committee prior to commencing data collection.</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trends, correlations, and significant differences among participant groups. Qualitative data will be analyzed using thematic analysis to identify recurring themes and insights related to the experiences of lawyers in Canada Montreal.</w:t>
      </w:r>
    </w:p>
    <w:p>
      <w:pPr>
        <w:pStyle w:val="BodyText"/>
      </w:pPr>
      <w:r>
        <w:t xml:space="preserve">The integration of both data types will provide a comprehensive understanding of the adaptation process and inform actionable recommendations.</w:t>
      </w:r>
    </w:p>
    <w:bookmarkEnd w:id="32"/>
    <w:bookmarkStart w:id="33" w:name="expected-outcomes"/>
    <w:p>
      <w:pPr>
        <w:pStyle w:val="Heading2"/>
      </w:pPr>
      <w:r>
        <w:t xml:space="preserve">7. Expected Outcomes</w:t>
      </w:r>
    </w:p>
    <w:p>
      <w:pPr>
        <w:pStyle w:val="FirstParagraph"/>
      </w:pPr>
      <w:r>
        <w:t xml:space="preserve">This experiment is expected to yield:</w:t>
      </w:r>
    </w:p>
    <w:p>
      <w:pPr>
        <w:numPr>
          <w:ilvl w:val="0"/>
          <w:numId w:val="1006"/>
        </w:numPr>
        <w:pStyle w:val="Compact"/>
      </w:pPr>
      <w:r>
        <w:t xml:space="preserve">A detailed profile of the challenges faced by lawyers adapting to practice in Canada Montreal.</w:t>
      </w:r>
    </w:p>
    <w:p>
      <w:pPr>
        <w:numPr>
          <w:ilvl w:val="0"/>
          <w:numId w:val="1006"/>
        </w:numPr>
        <w:pStyle w:val="Compact"/>
      </w:pPr>
      <w:r>
        <w:t xml:space="preserve">Insights into the effectiveness of bilingualism and civil law training in professional integration.</w:t>
      </w:r>
    </w:p>
    <w:p>
      <w:pPr>
        <w:numPr>
          <w:ilvl w:val="0"/>
          <w:numId w:val="1006"/>
        </w:numPr>
        <w:pStyle w:val="Compact"/>
      </w:pPr>
      <w:r>
        <w:t xml:space="preserve">Recommendations for regulatory bodies, law firms, and educational institutions to support lawyers in this jurisdiction.</w:t>
      </w:r>
    </w:p>
    <w:bookmarkEnd w:id="33"/>
    <w:bookmarkStart w:id="34" w:name="conclusion"/>
    <w:p>
      <w:pPr>
        <w:pStyle w:val="Heading2"/>
      </w:pPr>
      <w:r>
        <w:t xml:space="preserve">8. Conclusion</w:t>
      </w:r>
    </w:p>
    <w:p>
      <w:pPr>
        <w:pStyle w:val="FirstParagraph"/>
      </w:pPr>
      <w:r>
        <w:t xml:space="preserve">This Experiment Protocol provides a structured framework for investigating the unique professional landscape faced by lawyers in Canada Montreal. By systematically examining adaptation strategies, regulatory compliance, and cultural integration, this study aims to contribute valuable knowledge to the legal community and enhance the support systems available to practitioners in this dynamic jurisdiction.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Adaptation in Canada Montreal</dc:title>
  <dc:creator/>
  <dc:language>en</dc:language>
  <cp:keywords/>
  <dcterms:created xsi:type="dcterms:W3CDTF">2026-10-10T03:36:35Z</dcterms:created>
  <dcterms:modified xsi:type="dcterms:W3CDTF">2026-10-10T03:36:35Z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