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Canada</w:t>
      </w:r>
      <w:r>
        <w:t xml:space="preserve"> </w:t>
      </w:r>
      <w:r>
        <w:t xml:space="preserve">Toronto</w:t>
      </w:r>
    </w:p>
    <w:bookmarkStart w:id="20" w:name="X51a3b9acba560b6a23994cfbe6aa0bd9a732a0a"/>
    <w:p>
      <w:pPr>
        <w:pStyle w:val="Heading1"/>
      </w:pPr>
      <w:r>
        <w:t xml:space="preserve">Experiment Protocol: Legal Practice Adaptation in Canada Toronto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Canada Toronto</w:t>
      </w:r>
      <w:r>
        <w:br/>
      </w:r>
      <w:r>
        <w:rPr>
          <w:bCs/>
          <w:b/>
        </w:rPr>
        <w:t xml:space="preserve">Subject:</w:t>
      </w:r>
      <w:r>
        <w:t xml:space="preserve"> </w:t>
      </w:r>
      <w:r>
        <w:t xml:space="preserve">Lawyer Practice Adaptation Study</w:t>
      </w:r>
    </w:p>
    <w:bookmarkEnd w:id="20"/>
    <w:bookmarkStart w:id="21" w:name="introduction"/>
    <w:p>
      <w:pPr>
        <w:pStyle w:val="Heading2"/>
      </w:pPr>
      <w:r>
        <w:t xml:space="preserve">1. Introduction</w:t>
      </w:r>
    </w:p>
    <w:p>
      <w:pPr>
        <w:pStyle w:val="FirstParagraph"/>
      </w:pPr>
      <w:r>
        <w:t xml:space="preserve">This Experiment Protocol outlines the methodology and procedures for studying the adaptation of legal practices by lawyers in Canada Toronto. The study aims to understand how legal professionals adjust their practices to meet the unique demands of the Canadian legal system, particularly within the jurisdiction of Toronto. This document is designed to ensure consistency, accuracy, and ethical compliance throughout the research process.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challenges faced by lawyers adapting to the Canadian legal framework in Toronto.</w:t>
      </w:r>
    </w:p>
    <w:p>
      <w:pPr>
        <w:numPr>
          <w:ilvl w:val="0"/>
          <w:numId w:val="1001"/>
        </w:numPr>
        <w:pStyle w:val="Compact"/>
      </w:pPr>
      <w:r>
        <w:t xml:space="preserve">To identify best practices for legal professionals transitioning to or working within the Toronto legal environment.</w:t>
      </w:r>
    </w:p>
    <w:p>
      <w:pPr>
        <w:numPr>
          <w:ilvl w:val="0"/>
          <w:numId w:val="1001"/>
        </w:numPr>
        <w:pStyle w:val="Compact"/>
      </w:pPr>
      <w:r>
        <w:t xml:space="preserve">To evaluate the impact of cultural, linguistic, and regulatory differences on legal practice.</w:t>
      </w:r>
    </w:p>
    <w:p>
      <w:pPr>
        <w:numPr>
          <w:ilvl w:val="0"/>
          <w:numId w:val="1001"/>
        </w:numPr>
        <w:pStyle w:val="Compact"/>
      </w:pPr>
      <w:r>
        <w:t xml:space="preserve">To provide recommendations for improving the integration of lawyers into the Canadian legal system.</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and qualitative interviews. The research will focus on lawyers practicing in Canada Toronto, including both domestic and international legal professionals.</w:t>
      </w:r>
    </w:p>
    <w:bookmarkEnd w:id="23"/>
    <w:bookmarkStart w:id="24" w:name="participants"/>
    <w:p>
      <w:pPr>
        <w:pStyle w:val="Heading3"/>
      </w:pPr>
      <w:r>
        <w:t xml:space="preserve">3.2 Participants</w:t>
      </w:r>
    </w:p>
    <w:p>
      <w:pPr>
        <w:pStyle w:val="FirstParagraph"/>
      </w:pPr>
      <w:r>
        <w:t xml:space="preserve">The study will include:</w:t>
      </w:r>
    </w:p>
    <w:p>
      <w:pPr>
        <w:numPr>
          <w:ilvl w:val="0"/>
          <w:numId w:val="1002"/>
        </w:numPr>
        <w:pStyle w:val="Compact"/>
      </w:pPr>
      <w:r>
        <w:t xml:space="preserve">Lawyers licensed to practice in Ontario, with a focus on those based in Toronto.</w:t>
      </w:r>
    </w:p>
    <w:p>
      <w:pPr>
        <w:numPr>
          <w:ilvl w:val="0"/>
          <w:numId w:val="1002"/>
        </w:numPr>
        <w:pStyle w:val="Compact"/>
      </w:pPr>
      <w:r>
        <w:t xml:space="preserve">Legal professionals from diverse backgrounds, including those who have recently transitioned to the Canadian legal system.</w:t>
      </w:r>
    </w:p>
    <w:p>
      <w:pPr>
        <w:numPr>
          <w:ilvl w:val="0"/>
          <w:numId w:val="1002"/>
        </w:numPr>
        <w:pStyle w:val="Compact"/>
      </w:pPr>
      <w:r>
        <w:t xml:space="preserve">A minimum sample size of 100 participants to ensure statistical significance.</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Online surveys distributed via legal associations and professional networks in Canada Toronto.</w:t>
      </w:r>
    </w:p>
    <w:p>
      <w:pPr>
        <w:numPr>
          <w:ilvl w:val="0"/>
          <w:numId w:val="1003"/>
        </w:numPr>
        <w:pStyle w:val="Compact"/>
      </w:pPr>
      <w:r>
        <w:t xml:space="preserve">Semi-structured interviews conducted with a subset of participants to gain deeper insights.</w:t>
      </w:r>
    </w:p>
    <w:p>
      <w:pPr>
        <w:numPr>
          <w:ilvl w:val="0"/>
          <w:numId w:val="1003"/>
        </w:numPr>
        <w:pStyle w:val="Compact"/>
      </w:pPr>
      <w:r>
        <w:t xml:space="preserve">Review of relevant legal documents, case studies, and regulatory guidelines.</w:t>
      </w:r>
    </w:p>
    <w:bookmarkEnd w:id="25"/>
    <w:bookmarkStart w:id="26" w:name="variables"/>
    <w:p>
      <w:pPr>
        <w:pStyle w:val="Heading3"/>
      </w:pPr>
      <w:r>
        <w:t xml:space="preserve">3.4 Variables</w:t>
      </w:r>
    </w:p>
    <w:p>
      <w:pPr>
        <w:pStyle w:val="FirstParagraph"/>
      </w:pPr>
      <w:r>
        <w:t xml:space="preserve">The study will examine the following variables:</w:t>
      </w:r>
    </w:p>
    <w:p>
      <w:pPr>
        <w:numPr>
          <w:ilvl w:val="0"/>
          <w:numId w:val="1004"/>
        </w:numPr>
        <w:pStyle w:val="Compact"/>
      </w:pPr>
      <w:r>
        <w:rPr>
          <w:bCs/>
          <w:b/>
        </w:rPr>
        <w:t xml:space="preserve">Independent Variables:</w:t>
      </w:r>
      <w:r>
        <w:t xml:space="preserve"> </w:t>
      </w:r>
      <w:r>
        <w:t xml:space="preserve">Lawyer's background (domestic vs. international), years of practice, area of specialization.</w:t>
      </w:r>
    </w:p>
    <w:p>
      <w:pPr>
        <w:numPr>
          <w:ilvl w:val="0"/>
          <w:numId w:val="1004"/>
        </w:numPr>
        <w:pStyle w:val="Compact"/>
      </w:pPr>
      <w:r>
        <w:rPr>
          <w:bCs/>
          <w:b/>
        </w:rPr>
        <w:t xml:space="preserve">Dependent Variables:</w:t>
      </w:r>
      <w:r>
        <w:t xml:space="preserve"> </w:t>
      </w:r>
      <w:r>
        <w:t xml:space="preserve">Adaptation success, client satisfaction, regulatory compliance, professional development.</w:t>
      </w:r>
    </w:p>
    <w:bookmarkEnd w:id="26"/>
    <w:bookmarkEnd w:id="27"/>
    <w:bookmarkStart w:id="28" w:name="ethical-considerations"/>
    <w:p>
      <w:pPr>
        <w:pStyle w:val="Heading2"/>
      </w:pPr>
      <w:r>
        <w:t xml:space="preserve">4. Ethical Considerations</w:t>
      </w:r>
    </w:p>
    <w:p>
      <w:pPr>
        <w:pStyle w:val="FirstParagraph"/>
      </w:pPr>
      <w:r>
        <w:t xml:space="preserve">This study adheres to ethical guidelines established by the Law Society of Ontario and relevant research ethics boards.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participant data.</w:t>
      </w:r>
    </w:p>
    <w:p>
      <w:pPr>
        <w:numPr>
          <w:ilvl w:val="0"/>
          <w:numId w:val="1005"/>
        </w:numPr>
        <w:pStyle w:val="Compact"/>
      </w:pPr>
      <w:r>
        <w:t xml:space="preserve">Compliance with privacy laws, including the Personal Information Protection and Electronic Documents Act (PIPEDA).</w:t>
      </w:r>
    </w:p>
    <w:bookmarkEnd w:id="28"/>
    <w:bookmarkStart w:id="29" w:name="timeline"/>
    <w:p>
      <w:pPr>
        <w:pStyle w:val="Heading2"/>
      </w:pPr>
      <w:r>
        <w:t xml:space="preserve">5. Timeline</w:t>
      </w:r>
    </w:p>
    <w:p>
      <w:pPr>
        <w:pStyle w:val="FirstParagraph"/>
      </w:pPr>
      <w:r>
        <w:t xml:space="preserve">The experiment will be conducted over a period of 12 months, divided into the following phases:</w:t>
      </w:r>
    </w:p>
    <w:p>
      <w:pPr>
        <w:numPr>
          <w:ilvl w:val="0"/>
          <w:numId w:val="1006"/>
        </w:numPr>
        <w:pStyle w:val="Compact"/>
      </w:pPr>
      <w:r>
        <w:rPr>
          <w:bCs/>
          <w:b/>
        </w:rPr>
        <w:t xml:space="preserve">Phase 1 (Months 1-2):</w:t>
      </w:r>
      <w:r>
        <w:t xml:space="preserve"> </w:t>
      </w:r>
      <w:r>
        <w:t xml:space="preserve">Literature review and protocol finalization.</w:t>
      </w:r>
    </w:p>
    <w:p>
      <w:pPr>
        <w:numPr>
          <w:ilvl w:val="0"/>
          <w:numId w:val="1006"/>
        </w:numPr>
        <w:pStyle w:val="Compact"/>
      </w:pPr>
      <w:r>
        <w:rPr>
          <w:bCs/>
          <w:b/>
        </w:rPr>
        <w:t xml:space="preserve">Phase 2 (Months 3-6):</w:t>
      </w:r>
      <w:r>
        <w:t xml:space="preserve"> </w:t>
      </w:r>
      <w:r>
        <w:t xml:space="preserve">Data collection through surveys and interviews.</w:t>
      </w:r>
    </w:p>
    <w:p>
      <w:pPr>
        <w:numPr>
          <w:ilvl w:val="0"/>
          <w:numId w:val="1006"/>
        </w:numPr>
        <w:pStyle w:val="Compact"/>
      </w:pPr>
      <w:r>
        <w:rPr>
          <w:bCs/>
          <w:b/>
        </w:rPr>
        <w:t xml:space="preserve">Phase 3 (Months 7-9):</w:t>
      </w:r>
      <w:r>
        <w:t xml:space="preserve"> </w:t>
      </w:r>
      <w:r>
        <w:t xml:space="preserve">Data analysis and interpretation.</w:t>
      </w:r>
    </w:p>
    <w:p>
      <w:pPr>
        <w:numPr>
          <w:ilvl w:val="0"/>
          <w:numId w:val="1006"/>
        </w:numPr>
        <w:pStyle w:val="Compact"/>
      </w:pPr>
      <w:r>
        <w:rPr>
          <w:bCs/>
          <w:b/>
        </w:rPr>
        <w:t xml:space="preserve">Phase 4 (Months 10-12):</w:t>
      </w:r>
      <w:r>
        <w:t xml:space="preserve"> </w:t>
      </w:r>
      <w:r>
        <w:t xml:space="preserve">Report writing and dissemination of findings.</w:t>
      </w:r>
    </w:p>
    <w:bookmarkEnd w:id="29"/>
    <w:bookmarkStart w:id="30" w:name="expected-outcomes"/>
    <w:p>
      <w:pPr>
        <w:pStyle w:val="Heading2"/>
      </w:pPr>
      <w:r>
        <w:t xml:space="preserve">6. Expected Outcomes</w:t>
      </w:r>
    </w:p>
    <w:p>
      <w:pPr>
        <w:pStyle w:val="FirstParagraph"/>
      </w:pPr>
      <w:r>
        <w:t xml:space="preserve">The study aims to produce actionable insights for lawyers, legal educators, and policymakers in Canada Toronto. Expected outcomes include:</w:t>
      </w:r>
    </w:p>
    <w:p>
      <w:pPr>
        <w:numPr>
          <w:ilvl w:val="0"/>
          <w:numId w:val="1007"/>
        </w:numPr>
        <w:pStyle w:val="Compact"/>
      </w:pPr>
      <w:r>
        <w:t xml:space="preserve">A comprehensive understanding of the adaptation challenges faced by lawyers in Toronto.</w:t>
      </w:r>
    </w:p>
    <w:p>
      <w:pPr>
        <w:numPr>
          <w:ilvl w:val="0"/>
          <w:numId w:val="1007"/>
        </w:numPr>
        <w:pStyle w:val="Compact"/>
      </w:pPr>
      <w:r>
        <w:t xml:space="preserve">Recommendations for enhancing professional development programs.</w:t>
      </w:r>
    </w:p>
    <w:p>
      <w:pPr>
        <w:numPr>
          <w:ilvl w:val="0"/>
          <w:numId w:val="1007"/>
        </w:numPr>
        <w:pStyle w:val="Compact"/>
      </w:pPr>
      <w:r>
        <w:t xml:space="preserve">Guidelines for improving regulatory frameworks to support legal professionals.</w:t>
      </w:r>
    </w:p>
    <w:bookmarkEnd w:id="30"/>
    <w:bookmarkStart w:id="31" w:name="conclusion"/>
    <w:p>
      <w:pPr>
        <w:pStyle w:val="Heading2"/>
      </w:pPr>
      <w:r>
        <w:t xml:space="preserve">7. Conclusion</w:t>
      </w:r>
    </w:p>
    <w:p>
      <w:pPr>
        <w:pStyle w:val="FirstParagraph"/>
      </w:pPr>
      <w:r>
        <w:t xml:space="preserve">This Experiment Protocol provides a structured approach to studying the adaptation of legal practices by lawyers in Canada Toronto. By adhering to this protocol, the study will ensure rigorous, ethical, and meaningful research that contributes to the advancement of legal practice in the region.</w:t>
      </w:r>
    </w:p>
    <w:bookmarkEnd w:id="31"/>
    <w:bookmarkStart w:id="32" w:name="disclaimer"/>
    <w:p>
      <w:pPr>
        <w:pStyle w:val="Heading3"/>
      </w:pPr>
      <w:r>
        <w:t xml:space="preserve">Disclaimer</w:t>
      </w:r>
    </w:p>
    <w:p>
      <w:pPr>
        <w:pStyle w:val="FirstParagraph"/>
      </w:pPr>
      <w:r>
        <w:t xml:space="preserve">This document is intended for research purposes only and does not constitute legal advice. Participants are encouraged to consult with their respective legal associations for guidance on professional obligations.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Canada Toronto</dc:title>
  <dc:creator/>
  <dc:language>en</dc:language>
  <cp:keywords/>
  <dcterms:created xsi:type="dcterms:W3CDTF">2026-10-10T01:14:43Z</dcterms:created>
  <dcterms:modified xsi:type="dcterms:W3CDTF">2026-10-10T01:14:43Z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