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Adaptation</w:t>
      </w:r>
      <w:r>
        <w:t xml:space="preserve"> </w:t>
      </w:r>
      <w:r>
        <w:t xml:space="preserve">in</w:t>
      </w:r>
      <w:r>
        <w:t xml:space="preserve"> </w:t>
      </w:r>
      <w:r>
        <w:t xml:space="preserve">Canada</w:t>
      </w:r>
      <w:r>
        <w:t xml:space="preserve"> </w:t>
      </w:r>
      <w:r>
        <w:t xml:space="preserve">Vancouver</w:t>
      </w:r>
    </w:p>
    <w:bookmarkStart w:id="30" w:name="X4011a353d6dd675c94db6f79865eedc0c695ad6"/>
    <w:p>
      <w:pPr>
        <w:pStyle w:val="Heading1"/>
      </w:pPr>
      <w:r>
        <w:t xml:space="preserve">Experiment Protocol: Jurisprudential Adaptation and Practice Readiness</w:t>
      </w:r>
    </w:p>
    <w:p>
      <w:pPr>
        <w:pStyle w:val="FirstParagraph"/>
      </w:pPr>
      <w:r>
        <w:rPr>
          <w:bCs/>
          <w:b/>
        </w:rPr>
        <w:t xml:space="preserve">Protocol ID:</w:t>
      </w:r>
      <w:r>
        <w:t xml:space="preserve"> </w:t>
      </w:r>
      <w:r>
        <w:t xml:space="preserve">EXP-LAW-VAN-2024-001</w:t>
      </w:r>
    </w:p>
    <w:p>
      <w:pPr>
        <w:pStyle w:val="BodyText"/>
      </w:pPr>
      <w:r>
        <w:rPr>
          <w:bCs/>
          <w:b/>
        </w:rPr>
        <w:t xml:space="preserve">Subject:</w:t>
      </w:r>
      <w:r>
        <w:t xml:space="preserve"> </w:t>
      </w:r>
      <w:r>
        <w:t xml:space="preserve">The Lawyer (Candidate for Admission)</w:t>
      </w:r>
    </w:p>
    <w:p>
      <w:pPr>
        <w:pStyle w:val="BodyText"/>
      </w:pPr>
      <w:r>
        <w:rPr>
          <w:bCs/>
          <w:b/>
        </w:rPr>
        <w:t xml:space="preserve">Location:</w:t>
      </w:r>
      <w:r>
        <w:t xml:space="preserve"> </w:t>
      </w:r>
      <w:r>
        <w:t xml:space="preserve">Canada Vancouver, British Columbia</w:t>
      </w:r>
    </w:p>
    <w:p>
      <w:pPr>
        <w:pStyle w:val="BodyText"/>
      </w:pPr>
      <w:r>
        <w:rPr>
          <w:bCs/>
          <w:b/>
        </w:rPr>
        <w:t xml:space="preserve">Governing Body:</w:t>
      </w:r>
      <w:r>
        <w:t xml:space="preserve"> </w:t>
      </w:r>
      <w:r>
        <w:t xml:space="preserve">Law Society of British Columbia (LSBC)</w:t>
      </w:r>
    </w:p>
    <w:p>
      <w:pPr>
        <w:pStyle w:val="BodyText"/>
      </w:pPr>
      <w:r>
        <w:rPr>
          <w:bCs/>
          <w:b/>
        </w:rPr>
        <w:t xml:space="preserve">Date:</w:t>
      </w:r>
      <w:r>
        <w:t xml:space="preserve"> </w:t>
      </w:r>
      <w:r>
        <w:t xml:space="preserve">October 24, 2023</w:t>
      </w:r>
    </w:p>
    <w:bookmarkStart w:id="20" w:name="introduction-and-objective"/>
    <w:p>
      <w:pPr>
        <w:pStyle w:val="Heading2"/>
      </w:pPr>
      <w:r>
        <w:t xml:space="preserve">1. Introduction and Objective</w:t>
      </w:r>
    </w:p>
    <w:p>
      <w:pPr>
        <w:pStyle w:val="FirstParagraph"/>
      </w:pPr>
      <w:r>
        <w:t xml:space="preserve">This Experiment Protocol outlines the rigorous assessment framework designed to evaluate the competency, ethical grounding, and practical readiness of a</w:t>
      </w:r>
      <w:r>
        <w:t xml:space="preserve"> </w:t>
      </w:r>
      <w:r>
        <w:rPr>
          <w:bCs/>
          <w:b/>
        </w:rPr>
        <w:t xml:space="preserve">Lawyer</w:t>
      </w:r>
      <w:r>
        <w:t xml:space="preserve"> </w:t>
      </w:r>
      <w:r>
        <w:t xml:space="preserve">candidate seeking admission to the Bar in</w:t>
      </w:r>
      <w:r>
        <w:t xml:space="preserve"> </w:t>
      </w:r>
      <w:r>
        <w:rPr>
          <w:bCs/>
          <w:b/>
        </w:rPr>
        <w:t xml:space="preserve">Canada Vancouver</w:t>
      </w:r>
      <w:r>
        <w:t xml:space="preserve">. The legal landscape in Vancouver is distinct, characterized by a multicultural demographic, a robust real estate market, and specific provincial statutes under the jurisdiction of British Columbia.</w:t>
      </w:r>
    </w:p>
    <w:p>
      <w:pPr>
        <w:pStyle w:val="BodyText"/>
      </w:pPr>
      <w:r>
        <w:t xml:space="preserve">The primary objective of this protocol is to simulate real-world legal scenarios to determine if the candidate possesses the requisite skills to practice law effectively within the Vancouver legal community. This is not merely an academic exercise; it is a practical validation of the candidate's ability to navigate the complexities of the Canadian legal system, specifically adhering to the rules and regulations enforced by the Law Society of British Columbia.</w:t>
      </w:r>
    </w:p>
    <w:bookmarkEnd w:id="20"/>
    <w:bookmarkStart w:id="21" w:name="scope-and-jurisdictional-context"/>
    <w:p>
      <w:pPr>
        <w:pStyle w:val="Heading2"/>
      </w:pPr>
      <w:r>
        <w:t xml:space="preserve">2. Scope and Jurisdictional Context</w:t>
      </w:r>
    </w:p>
    <w:p>
      <w:pPr>
        <w:pStyle w:val="FirstParagraph"/>
      </w:pPr>
      <w:r>
        <w:t xml:space="preserve">The scope of this experiment is strictly limited to the legal jurisdiction of British Columbia, with a specific focus on the metropolitan area of Vancouver. The candidate must demonstrate proficiency in:</w:t>
      </w:r>
    </w:p>
    <w:p>
      <w:pPr>
        <w:numPr>
          <w:ilvl w:val="0"/>
          <w:numId w:val="1001"/>
        </w:numPr>
        <w:pStyle w:val="Compact"/>
      </w:pPr>
      <w:r>
        <w:rPr>
          <w:bCs/>
          <w:b/>
        </w:rPr>
        <w:t xml:space="preserve">Provincial Statutes:</w:t>
      </w:r>
      <w:r>
        <w:t xml:space="preserve"> </w:t>
      </w:r>
      <w:r>
        <w:t xml:space="preserve">Including the</w:t>
      </w:r>
      <w:r>
        <w:t xml:space="preserve"> </w:t>
      </w:r>
      <w:r>
        <w:rPr>
          <w:iCs/>
          <w:i/>
        </w:rPr>
        <w:t xml:space="preserve">Legal Profession Act</w:t>
      </w:r>
      <w:r>
        <w:t xml:space="preserve"> </w:t>
      </w:r>
      <w:r>
        <w:t xml:space="preserve">and the</w:t>
      </w:r>
      <w:r>
        <w:t xml:space="preserve"> </w:t>
      </w:r>
      <w:r>
        <w:rPr>
          <w:iCs/>
          <w:i/>
        </w:rPr>
        <w:t xml:space="preserve">Professional Conduct Code</w:t>
      </w:r>
      <w:r>
        <w:t xml:space="preserve">.</w:t>
      </w:r>
    </w:p>
    <w:p>
      <w:pPr>
        <w:numPr>
          <w:ilvl w:val="0"/>
          <w:numId w:val="1001"/>
        </w:numPr>
        <w:pStyle w:val="Compact"/>
      </w:pPr>
      <w:r>
        <w:rPr>
          <w:bCs/>
          <w:b/>
        </w:rPr>
        <w:t xml:space="preserve">Local Court Procedures:</w:t>
      </w:r>
      <w:r>
        <w:t xml:space="preserve"> </w:t>
      </w:r>
      <w:r>
        <w:t xml:space="preserve">Familiarity with the Provincial Court of British Columbia and the Supreme Court of British Columbia.</w:t>
      </w:r>
    </w:p>
    <w:p>
      <w:pPr>
        <w:numPr>
          <w:ilvl w:val="0"/>
          <w:numId w:val="1001"/>
        </w:numPr>
        <w:pStyle w:val="Compact"/>
      </w:pPr>
      <w:r>
        <w:rPr>
          <w:bCs/>
          <w:b/>
        </w:rPr>
        <w:t xml:space="preserve">Cultural Competency:</w:t>
      </w:r>
      <w:r>
        <w:t xml:space="preserve"> </w:t>
      </w:r>
      <w:r>
        <w:t xml:space="preserve">Understanding the diverse client base in Vancouver, including Indigenous legal traditions and multicultural considerations.</w:t>
      </w:r>
    </w:p>
    <w:p>
      <w:pPr>
        <w:pStyle w:val="FirstParagraph"/>
      </w:pPr>
      <w:r>
        <w:t xml:space="preserve">The protocol acknowledges that a</w:t>
      </w:r>
      <w:r>
        <w:t xml:space="preserve"> </w:t>
      </w:r>
      <w:r>
        <w:rPr>
          <w:bCs/>
          <w:b/>
        </w:rPr>
        <w:t xml:space="preserve">Lawyer</w:t>
      </w:r>
      <w:r>
        <w:t xml:space="preserve"> </w:t>
      </w:r>
      <w:r>
        <w:t xml:space="preserve">in Vancouver operates within a unique ecosystem that blends common law traditions with specific local regulatory requirements.</w:t>
      </w:r>
    </w:p>
    <w:bookmarkEnd w:id="21"/>
    <w:bookmarkStart w:id="25" w:name="methodology-and-experimental-design"/>
    <w:p>
      <w:pPr>
        <w:pStyle w:val="Heading2"/>
      </w:pPr>
      <w:r>
        <w:t xml:space="preserve">3. Methodology and Experimental Design</w:t>
      </w:r>
    </w:p>
    <w:p>
      <w:pPr>
        <w:pStyle w:val="FirstParagraph"/>
      </w:pPr>
      <w:r>
        <w:t xml:space="preserve">The experiment is divided into three distinct phases. Each phase is designed to test different facets of legal practice. The candidate will be observed by senior practitioners and LSBC evaluators.</w:t>
      </w:r>
    </w:p>
    <w:bookmarkStart w:id="22" w:name="X0849db014579dcdb0ebd46bd9a87e05e489aa2a"/>
    <w:p>
      <w:pPr>
        <w:pStyle w:val="Heading3"/>
      </w:pPr>
      <w:r>
        <w:t xml:space="preserve">Phase 1: Ethical Reasoning and Professional Responsibility</w:t>
      </w:r>
    </w:p>
    <w:p>
      <w:pPr>
        <w:pStyle w:val="FirstParagraph"/>
      </w:pPr>
      <w:r>
        <w:t xml:space="preserve">In this phase, the candidate is presented with hypothetical ethical dilemmas common in Vancouver law firms. These scenarios may involve conflicts of interest in real estate transactions, confidentiality issues in family law, or billing ethics. The candidate must provide a written analysis and an oral defense of their decision-making process.</w:t>
      </w:r>
    </w:p>
    <w:p>
      <w:pPr>
        <w:pStyle w:val="BodyText"/>
      </w:pPr>
      <w:r>
        <w:rPr>
          <w:bCs/>
          <w:b/>
        </w:rPr>
        <w:t xml:space="preserve">Key Metric:</w:t>
      </w:r>
      <w:r>
        <w:t xml:space="preserve"> </w:t>
      </w:r>
      <w:r>
        <w:t xml:space="preserve">Adherence to the</w:t>
      </w:r>
      <w:r>
        <w:t xml:space="preserve"> </w:t>
      </w:r>
      <w:r>
        <w:rPr>
          <w:iCs/>
          <w:i/>
        </w:rPr>
        <w:t xml:space="preserve">Professional Conduct Code</w:t>
      </w:r>
      <w:r>
        <w:t xml:space="preserve"> </w:t>
      </w:r>
      <w:r>
        <w:t xml:space="preserve">of the Law Society of British Columbia.</w:t>
      </w:r>
    </w:p>
    <w:bookmarkEnd w:id="22"/>
    <w:bookmarkStart w:id="23" w:name="Xf4f3968ab1cc91b8daef3a6a23e139246d5e5c9"/>
    <w:p>
      <w:pPr>
        <w:pStyle w:val="Heading3"/>
      </w:pPr>
      <w:r>
        <w:t xml:space="preserve">Phase 2: Practical Legal Skills Simulation</w:t>
      </w:r>
    </w:p>
    <w:p>
      <w:pPr>
        <w:pStyle w:val="FirstParagraph"/>
      </w:pPr>
      <w:r>
        <w:t xml:space="preserve">The candidate will engage in a simulated client interview and drafting exercise. The scenario will involve a client seeking legal advice on a matter relevant to Vancouver, such as residential tenancy disputes under the</w:t>
      </w:r>
      <w:r>
        <w:t xml:space="preserve"> </w:t>
      </w:r>
      <w:r>
        <w:rPr>
          <w:iCs/>
          <w:i/>
        </w:rPr>
        <w:t xml:space="preserve">Residential Tenancy Act</w:t>
      </w:r>
      <w:r>
        <w:t xml:space="preserve"> </w:t>
      </w:r>
      <w:r>
        <w:t xml:space="preserve">or corporate structuring for a tech startup in the Vancouver tech hub.</w:t>
      </w:r>
    </w:p>
    <w:p>
      <w:pPr>
        <w:pStyle w:val="BodyText"/>
      </w:pPr>
      <w:r>
        <w:t xml:space="preserve">The candidate must:</w:t>
      </w:r>
    </w:p>
    <w:p>
      <w:pPr>
        <w:numPr>
          <w:ilvl w:val="0"/>
          <w:numId w:val="1002"/>
        </w:numPr>
        <w:pStyle w:val="Compact"/>
      </w:pPr>
      <w:r>
        <w:t xml:space="preserve">Conduct a thorough client interview to gather facts.</w:t>
      </w:r>
    </w:p>
    <w:p>
      <w:pPr>
        <w:numPr>
          <w:ilvl w:val="0"/>
          <w:numId w:val="1002"/>
        </w:numPr>
        <w:pStyle w:val="Compact"/>
      </w:pPr>
      <w:r>
        <w:t xml:space="preserve">Identify the relevant legal issues.</w:t>
      </w:r>
    </w:p>
    <w:p>
      <w:pPr>
        <w:numPr>
          <w:ilvl w:val="0"/>
          <w:numId w:val="1002"/>
        </w:numPr>
        <w:pStyle w:val="Compact"/>
      </w:pPr>
      <w:r>
        <w:t xml:space="preserve">Provide clear, actionable legal advice.</w:t>
      </w:r>
    </w:p>
    <w:p>
      <w:pPr>
        <w:numPr>
          <w:ilvl w:val="0"/>
          <w:numId w:val="1002"/>
        </w:numPr>
        <w:pStyle w:val="Compact"/>
      </w:pPr>
      <w:r>
        <w:t xml:space="preserve">Draft a formal legal document (e.g., a demand letter or a simple contract).</w:t>
      </w:r>
    </w:p>
    <w:bookmarkEnd w:id="23"/>
    <w:bookmarkStart w:id="24" w:name="Xda245703eb48c5f49647a2a3d67243344428446"/>
    <w:p>
      <w:pPr>
        <w:pStyle w:val="Heading3"/>
      </w:pPr>
      <w:r>
        <w:t xml:space="preserve">Phase 3: Oral Advocacy and Courtroom Procedure</w:t>
      </w:r>
    </w:p>
    <w:p>
      <w:pPr>
        <w:pStyle w:val="FirstParagraph"/>
      </w:pPr>
      <w:r>
        <w:t xml:space="preserve">The final phase involves a mock court appearance. The candidate will be required to make an oral submission before a judge (played by a senior lawyer) in a simulated courtroom setting. The focus is on the candidate's ability to articulate legal arguments clearly, respond to judicial questioning, and demonstrate respect for the court.</w:t>
      </w:r>
    </w:p>
    <w:bookmarkEnd w:id="24"/>
    <w:bookmarkEnd w:id="25"/>
    <w:bookmarkStart w:id="26" w:name="participant-requirements"/>
    <w:p>
      <w:pPr>
        <w:pStyle w:val="Heading2"/>
      </w:pPr>
      <w:r>
        <w:t xml:space="preserve">4. Participant Requirements</w:t>
      </w:r>
    </w:p>
    <w:p>
      <w:pPr>
        <w:pStyle w:val="FirstParagraph"/>
      </w:pPr>
      <w:r>
        <w:t xml:space="preserve">To participate in this Experiment Protocol, the</w:t>
      </w:r>
      <w:r>
        <w:t xml:space="preserve"> </w:t>
      </w:r>
      <w:r>
        <w:rPr>
          <w:bCs/>
          <w:b/>
        </w:rPr>
        <w:t xml:space="preserve">Lawyer</w:t>
      </w:r>
      <w:r>
        <w:t xml:space="preserve"> </w:t>
      </w:r>
      <w:r>
        <w:t xml:space="preserve">candidate must meet the following prerequisites:</w:t>
      </w:r>
    </w:p>
    <w:p>
      <w:pPr>
        <w:numPr>
          <w:ilvl w:val="0"/>
          <w:numId w:val="1003"/>
        </w:numPr>
        <w:pStyle w:val="Compact"/>
      </w:pPr>
      <w:r>
        <w:t xml:space="preserve">Completion of a qualifying law degree (LL.B. or J.D.).</w:t>
      </w:r>
    </w:p>
    <w:p>
      <w:pPr>
        <w:numPr>
          <w:ilvl w:val="0"/>
          <w:numId w:val="1003"/>
        </w:numPr>
        <w:pStyle w:val="Compact"/>
      </w:pPr>
      <w:r>
        <w:t xml:space="preserve">Successful completion of the National Committee on Accreditation (NCA) requirements, if applicable.</w:t>
      </w:r>
    </w:p>
    <w:p>
      <w:pPr>
        <w:numPr>
          <w:ilvl w:val="0"/>
          <w:numId w:val="1003"/>
        </w:numPr>
        <w:pStyle w:val="Compact"/>
      </w:pPr>
      <w:r>
        <w:t xml:space="preserve">Completion of the Law Society of British Columbia's articling program or the Law Practice Program (LPP).</w:t>
      </w:r>
    </w:p>
    <w:p>
      <w:pPr>
        <w:numPr>
          <w:ilvl w:val="0"/>
          <w:numId w:val="1003"/>
        </w:numPr>
        <w:pStyle w:val="Compact"/>
      </w:pPr>
      <w:r>
        <w:t xml:space="preserve">Passing of the BC Bar Examinations.</w:t>
      </w:r>
    </w:p>
    <w:bookmarkEnd w:id="26"/>
    <w:bookmarkStart w:id="27" w:name="data-collection-and-evaluation-criteria"/>
    <w:p>
      <w:pPr>
        <w:pStyle w:val="Heading2"/>
      </w:pPr>
      <w:r>
        <w:t xml:space="preserve">5. Data Collection and Evaluation Criteria</w:t>
      </w:r>
    </w:p>
    <w:p>
      <w:pPr>
        <w:pStyle w:val="FirstParagraph"/>
      </w:pPr>
      <w:r>
        <w:t xml:space="preserve">Data will be collected through direct observation, written submissions, and recorded oral arguments. The evaluation will be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Legal Knowledge</w:t>
            </w:r>
          </w:p>
        </w:tc>
        <w:tc>
          <w:tcPr/>
          <w:p>
            <w:pPr>
              <w:pStyle w:val="Compact"/>
              <w:jc w:val="left"/>
            </w:pPr>
            <w:r>
              <w:t xml:space="preserve">Accuracy of legal principles and application of BC law.</w:t>
            </w:r>
          </w:p>
        </w:tc>
        <w:tc>
          <w:tcPr/>
          <w:p>
            <w:pPr>
              <w:pStyle w:val="Compact"/>
              <w:jc w:val="left"/>
            </w:pPr>
            <w:r>
              <w:t xml:space="preserve">30%</w:t>
            </w:r>
          </w:p>
        </w:tc>
      </w:tr>
      <w:tr>
        <w:tc>
          <w:tcPr/>
          <w:p>
            <w:pPr>
              <w:pStyle w:val="Compact"/>
              <w:jc w:val="left"/>
            </w:pPr>
            <w:r>
              <w:t xml:space="preserve">Professionalism</w:t>
            </w:r>
          </w:p>
        </w:tc>
        <w:tc>
          <w:tcPr/>
          <w:p>
            <w:pPr>
              <w:pStyle w:val="Compact"/>
              <w:jc w:val="left"/>
            </w:pPr>
            <w:r>
              <w:t xml:space="preserve">Adherence to ethical standards and professional conduct.</w:t>
            </w:r>
          </w:p>
        </w:tc>
        <w:tc>
          <w:tcPr/>
          <w:p>
            <w:pPr>
              <w:pStyle w:val="Compact"/>
              <w:jc w:val="left"/>
            </w:pPr>
            <w:r>
              <w:t xml:space="preserve">25%</w:t>
            </w:r>
          </w:p>
        </w:tc>
      </w:tr>
      <w:tr>
        <w:tc>
          <w:tcPr/>
          <w:p>
            <w:pPr>
              <w:pStyle w:val="Compact"/>
              <w:jc w:val="left"/>
            </w:pPr>
            <w:r>
              <w:t xml:space="preserve">Communication</w:t>
            </w:r>
          </w:p>
        </w:tc>
        <w:tc>
          <w:tcPr/>
          <w:p>
            <w:pPr>
              <w:pStyle w:val="Compact"/>
              <w:jc w:val="left"/>
            </w:pPr>
            <w:r>
              <w:t xml:space="preserve">Clarity, conciseness, and effectiveness in written and oral communication.</w:t>
            </w:r>
          </w:p>
        </w:tc>
        <w:tc>
          <w:tcPr/>
          <w:p>
            <w:pPr>
              <w:pStyle w:val="Compact"/>
              <w:jc w:val="left"/>
            </w:pPr>
            <w:r>
              <w:t xml:space="preserve">25%</w:t>
            </w:r>
          </w:p>
        </w:tc>
      </w:tr>
      <w:tr>
        <w:tc>
          <w:tcPr/>
          <w:p>
            <w:pPr>
              <w:pStyle w:val="Compact"/>
              <w:jc w:val="left"/>
            </w:pPr>
            <w:r>
              <w:t xml:space="preserve">Practical Skills</w:t>
            </w:r>
          </w:p>
        </w:tc>
        <w:tc>
          <w:tcPr/>
          <w:p>
            <w:pPr>
              <w:pStyle w:val="Compact"/>
              <w:jc w:val="left"/>
            </w:pPr>
            <w:r>
              <w:t xml:space="preserve">Ability to perform tasks such as drafting, interviewing, and advocacy.</w:t>
            </w:r>
          </w:p>
        </w:tc>
        <w:tc>
          <w:tcPr/>
          <w:p>
            <w:pPr>
              <w:pStyle w:val="Compact"/>
              <w:jc w:val="left"/>
            </w:pPr>
            <w:r>
              <w:t xml:space="preserve">20%</w:t>
            </w:r>
          </w:p>
        </w:tc>
      </w:tr>
    </w:tbl>
    <w:bookmarkEnd w:id="27"/>
    <w:bookmarkStart w:id="28" w:name="risk-management-and-confidentiality"/>
    <w:p>
      <w:pPr>
        <w:pStyle w:val="Heading2"/>
      </w:pPr>
      <w:r>
        <w:t xml:space="preserve">6. Risk Management and Confidentiality</w:t>
      </w:r>
    </w:p>
    <w:p>
      <w:pPr>
        <w:pStyle w:val="FirstParagraph"/>
      </w:pPr>
      <w:r>
        <w:t xml:space="preserve">Given the sensitive nature of legal practice, this Experiment Protocol includes strict confidentiality measures. All simulated client information is fictional. However, candidates must treat all information as if it were real, adhering to solicitor-client privilege principles. Any breach of confidentiality during the experiment will result in immediate disqualification.</w:t>
      </w:r>
    </w:p>
    <w:p>
      <w:pPr>
        <w:pStyle w:val="BodyText"/>
      </w:pPr>
      <w:r>
        <w:t xml:space="preserve">Furthermore, the protocol ensures that the psychological well-being of the candidate is considered. The high-stress environment of legal practice is simulated, but support mechanisms are in place to prevent undue harm.</w:t>
      </w:r>
    </w:p>
    <w:bookmarkEnd w:id="28"/>
    <w:bookmarkStart w:id="29" w:name="conclusion-and-reporting"/>
    <w:p>
      <w:pPr>
        <w:pStyle w:val="Heading2"/>
      </w:pPr>
      <w:r>
        <w:t xml:space="preserve">7. Conclusion and Reporting</w:t>
      </w:r>
    </w:p>
    <w:p>
      <w:pPr>
        <w:pStyle w:val="FirstParagraph"/>
      </w:pPr>
      <w:r>
        <w:t xml:space="preserve">Upon completion of the Experiment Protocol, a comprehensive report will be generated. This report will detail the candidate's performance in each phase and provide a final recommendation regarding their readiness to practice as a</w:t>
      </w:r>
      <w:r>
        <w:t xml:space="preserve"> </w:t>
      </w:r>
      <w:r>
        <w:rPr>
          <w:bCs/>
          <w:b/>
        </w:rPr>
        <w:t xml:space="preserve">Lawyer</w:t>
      </w:r>
      <w:r>
        <w:t xml:space="preserve"> </w:t>
      </w:r>
      <w:r>
        <w:t xml:space="preserve">in</w:t>
      </w:r>
      <w:r>
        <w:t xml:space="preserve"> </w:t>
      </w:r>
      <w:r>
        <w:rPr>
          <w:bCs/>
          <w:b/>
        </w:rPr>
        <w:t xml:space="preserve">Canada Vancouver</w:t>
      </w:r>
      <w:r>
        <w:t xml:space="preserve">. The report will be submitted to the Law Society of British Columbia for final review.</w:t>
      </w:r>
    </w:p>
    <w:p>
      <w:pPr>
        <w:pStyle w:val="BodyText"/>
      </w:pPr>
      <w:r>
        <w:t xml:space="preserve">This protocol serves as a critical checkpoint in the journey of a legal professional, ensuring that only those who are fully competent, ethical, and prepared are admitted to the Bar. It upholds the integrity of the legal profession in Vancouver and protects the public interest by maintaining high standards of legal practice.</w:t>
      </w:r>
    </w:p>
    <w:p>
      <w:pPr>
        <w:pStyle w:val="BodyText"/>
      </w:pPr>
      <w:r>
        <w:rPr>
          <w:iCs/>
          <w:i/>
        </w:rPr>
        <w:t xml:space="preserve">End of Protocol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Adaptation in Canada Vancouver</dc:title>
  <dc:creator/>
  <dc:language>en</dc:language>
  <cp:keywords/>
  <dcterms:created xsi:type="dcterms:W3CDTF">2026-10-10T03:31:42Z</dcterms:created>
  <dcterms:modified xsi:type="dcterms:W3CDTF">2026-10-10T03:31:42Z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