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Simulation</w:t>
      </w:r>
      <w:r>
        <w:t xml:space="preserve"> </w:t>
      </w:r>
      <w:r>
        <w:t xml:space="preserve">in</w:t>
      </w:r>
      <w:r>
        <w:t xml:space="preserve"> </w:t>
      </w:r>
      <w:r>
        <w:t xml:space="preserve">China</w:t>
      </w:r>
      <w:r>
        <w:t xml:space="preserve"> </w:t>
      </w:r>
      <w:r>
        <w:t xml:space="preserve">Beijing</w:t>
      </w:r>
    </w:p>
    <w:bookmarkStart w:id="34" w:name="X3862402f44af66e31ba05b7c2425b3bf81932aa"/>
    <w:p>
      <w:pPr>
        <w:pStyle w:val="Heading1"/>
      </w:pPr>
      <w:r>
        <w:t xml:space="preserve">Experiment Protocol: Legal Practice Simulation in China Beijing</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Legal Reasoning and Client Interaction Strategies by Lawyers in China Beijing.</w:t>
      </w:r>
    </w:p>
    <w:p>
      <w:pPr>
        <w:pStyle w:val="BodyText"/>
      </w:pPr>
      <w:r>
        <w:rPr>
          <w:bCs/>
          <w:b/>
        </w:rPr>
        <w:t xml:space="preserve">Protocol ID:</w:t>
      </w:r>
      <w:r>
        <w:t xml:space="preserve"> </w:t>
      </w:r>
      <w:r>
        <w:t xml:space="preserve">EXP-BJ-LAW-2024-001</w:t>
      </w:r>
    </w:p>
    <w:p>
      <w:pPr>
        <w:pStyle w:val="BodyText"/>
      </w:pPr>
      <w:r>
        <w:rPr>
          <w:bCs/>
          <w:b/>
        </w:rPr>
        <w:t xml:space="preserve">Location:</w:t>
      </w:r>
      <w:r>
        <w:t xml:space="preserve"> </w:t>
      </w:r>
      <w:r>
        <w:t xml:space="preserve">China Beijing, specifically within the Chaoyang District legal hubs and designated simulation centers.</w:t>
      </w:r>
    </w:p>
    <w:p>
      <w:pPr>
        <w:pStyle w:val="BodyText"/>
      </w:pPr>
      <w:r>
        <w:rPr>
          <w:bCs/>
          <w:b/>
        </w:rPr>
        <w:t xml:space="preserve">Date of Issue:</w:t>
      </w:r>
      <w:r>
        <w:t xml:space="preserve"> </w:t>
      </w:r>
      <w:r>
        <w:t xml:space="preserve">October 2024</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controlled study designed to evaluate the performance, ethical adherence, and strategic adaptability of Lawyers operating within the jurisdiction of China Beijing. As the capital of the People's Republic of China, Beijing hosts a unique legal ecosystem characterized by a blend of civil law traditions, socialist legal principles, and increasingly complex international commercial regulations.</w:t>
      </w:r>
    </w:p>
    <w:p>
      <w:pPr>
        <w:pStyle w:val="BodyText"/>
      </w:pPr>
      <w:r>
        <w:t xml:space="preserve">The role of the Lawyer in this context is pivotal. They must navigate the Civil Code of the People's Republic of China, the Criminal Procedure Law, and specific local regulations enforced by the Beijing Municipal Bureau of Justice. This experiment aims to simulate high-stakes legal scenarios to assess how effectively a Lawyer can protect client interests while maintaining strict compliance with the professional conduct rules mandated by the All China Lawyers Association (ACLA).</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evaluate the technical proficiency of Lawyers in interpreting and applying Chinese statutory law within the Beijing jurisdiction.</w:t>
      </w:r>
    </w:p>
    <w:p>
      <w:pPr>
        <w:numPr>
          <w:ilvl w:val="0"/>
          <w:numId w:val="1001"/>
        </w:numPr>
        <w:pStyle w:val="Compact"/>
      </w:pPr>
      <w:r>
        <w:t xml:space="preserve">To assess the communication skills of Lawyers when interacting with diverse client profiles, including foreign entities and domestic individuals.</w:t>
      </w:r>
    </w:p>
    <w:p>
      <w:pPr>
        <w:numPr>
          <w:ilvl w:val="0"/>
          <w:numId w:val="1001"/>
        </w:numPr>
        <w:pStyle w:val="Compact"/>
      </w:pPr>
      <w:r>
        <w:t xml:space="preserve">To measure the ethical decision-making processes of Lawyers when faced with conflicts of interest or procedural ambiguities.</w:t>
      </w:r>
    </w:p>
    <w:p>
      <w:pPr>
        <w:numPr>
          <w:ilvl w:val="0"/>
          <w:numId w:val="1001"/>
        </w:numPr>
        <w:pStyle w:val="Compact"/>
      </w:pPr>
      <w:r>
        <w:t xml:space="preserve">To analyze the adaptability of Lawyers to the specific procedural requirements of Beijing's courts and arbitration centers.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randomized controlled simulation design. Participants, identified as qualified Lawyers licensed to practice in China Beijing, will be assigned to specific case scenarios. The scenarios are designed to mirror real-world legal challenges frequently encountered in the region, such as intellectual property disputes, cross-border contract litigation, and administrative law challenges.</w:t>
      </w:r>
    </w:p>
    <w:bookmarkEnd w:id="23"/>
    <w:bookmarkStart w:id="24" w:name="participants"/>
    <w:p>
      <w:pPr>
        <w:pStyle w:val="Heading3"/>
      </w:pPr>
      <w:r>
        <w:t xml:space="preserve">4.2 Participants</w:t>
      </w:r>
    </w:p>
    <w:p>
      <w:pPr>
        <w:pStyle w:val="FirstParagraph"/>
      </w:pPr>
      <w:r>
        <w:t xml:space="preserve">Participants must hold a valid practicing certificate issued by the Beijing Lawyers Association. The sample size will consist of 50 Lawyers, stratified by years of experience (Junior: 1-5 years, Mid-level: 6-15 years, Senior: 15+ years) to ensure a representative analysis of the profession in China Beijing.</w:t>
      </w:r>
    </w:p>
    <w:bookmarkEnd w:id="24"/>
    <w:bookmarkStart w:id="25" w:name="experimental-setting"/>
    <w:p>
      <w:pPr>
        <w:pStyle w:val="Heading3"/>
      </w:pPr>
      <w:r>
        <w:t xml:space="preserve">4.3 Experimental Setting</w:t>
      </w:r>
    </w:p>
    <w:p>
      <w:pPr>
        <w:pStyle w:val="FirstParagraph"/>
      </w:pPr>
      <w:r>
        <w:t xml:space="preserve">The experiment will be conducted in a secure simulation facility located in China Beijing. The environment will be equipped with recording devices to capture verbal interactions and document drafting processes. The setting will mimic a law firm office and a courtroom environment to test the Lawyer's ability to transition between advisory and advocacy roles.</w:t>
      </w:r>
    </w:p>
    <w:bookmarkEnd w:id="25"/>
    <w:bookmarkEnd w:id="26"/>
    <w:bookmarkStart w:id="30" w:name="experimental-procedures"/>
    <w:p>
      <w:pPr>
        <w:pStyle w:val="Heading2"/>
      </w:pPr>
      <w:r>
        <w:t xml:space="preserve">5. Experimental Procedures</w:t>
      </w:r>
    </w:p>
    <w:p>
      <w:pPr>
        <w:pStyle w:val="FirstParagraph"/>
      </w:pPr>
      <w:r>
        <w:t xml:space="preserve">The experiment is divided into three distinct phases:</w:t>
      </w:r>
    </w:p>
    <w:bookmarkStart w:id="27" w:name="phase-1-case-intake-and-analysis"/>
    <w:p>
      <w:pPr>
        <w:pStyle w:val="Heading3"/>
      </w:pPr>
      <w:r>
        <w:t xml:space="preserve">Phase 1: Case Intake and Analysis</w:t>
      </w:r>
    </w:p>
    <w:p>
      <w:pPr>
        <w:pStyle w:val="FirstParagraph"/>
      </w:pPr>
      <w:r>
        <w:t xml:space="preserve">The Lawyer will be presented with a complex case file involving a hypothetical dispute. The Lawyer must review the documents, identify key legal issues under Chinese law, and formulate an initial strategy. This phase tests the Lawyer's ability to quickly assimilate information and apply relevant statutes.</w:t>
      </w:r>
    </w:p>
    <w:bookmarkEnd w:id="27"/>
    <w:bookmarkStart w:id="28" w:name="phase-2-client-consultation-simulation"/>
    <w:p>
      <w:pPr>
        <w:pStyle w:val="Heading3"/>
      </w:pPr>
      <w:r>
        <w:t xml:space="preserve">Phase 2: Client Consultation Simulation</w:t>
      </w:r>
    </w:p>
    <w:p>
      <w:pPr>
        <w:pStyle w:val="FirstParagraph"/>
      </w:pPr>
      <w:r>
        <w:t xml:space="preserve">The Lawyer will engage in a simulated consultation with an actor portraying the client. The client will present emotional and factual challenges. The Lawyer must demonstrate empathy, clarity, and professional boundaries. Special attention will be paid to the Lawyer's explanation of legal risks and the management of client expectations within the context of the Beijing legal system.</w:t>
      </w:r>
    </w:p>
    <w:bookmarkEnd w:id="28"/>
    <w:bookmarkStart w:id="29" w:name="phase-3-ethical-dilemma-and-advocacy"/>
    <w:p>
      <w:pPr>
        <w:pStyle w:val="Heading3"/>
      </w:pPr>
      <w:r>
        <w:t xml:space="preserve">Phase 3: Ethical Dilemma and Advocacy</w:t>
      </w:r>
    </w:p>
    <w:p>
      <w:pPr>
        <w:pStyle w:val="FirstParagraph"/>
      </w:pPr>
      <w:r>
        <w:t xml:space="preserve">Midway through the simulation, an ethical complication will be introduced (e.g., discovery of conflicting evidence or a potential conflict of interest). The Lawyer must decide how to proceed in accordance with the Code of Conduct for Lawyers in China. Following this, the Lawyer will deliver a mock oral argument before a panel of judges, demonstrating their advocacy skills.</w:t>
      </w:r>
    </w:p>
    <w:bookmarkEnd w:id="29"/>
    <w:bookmarkEnd w:id="30"/>
    <w:bookmarkStart w:id="31" w:name="data-collection-and-metrics"/>
    <w:p>
      <w:pPr>
        <w:pStyle w:val="Heading2"/>
      </w:pPr>
      <w:r>
        <w:t xml:space="preserve">6. Data Collection and Metrics</w:t>
      </w:r>
    </w:p>
    <w:p>
      <w:pPr>
        <w:pStyle w:val="FirstParagraph"/>
      </w:pPr>
      <w:r>
        <w:t xml:space="preserve">Data will be collected through video recordings, written submissions, and evaluator scoring sheets. The following metrics will be used to assess the Lawyer's performance: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Legal Accuracy</w:t>
            </w:r>
          </w:p>
        </w:tc>
        <w:tc>
          <w:tcPr/>
          <w:p>
            <w:pPr>
              <w:pStyle w:val="Compact"/>
              <w:jc w:val="left"/>
            </w:pPr>
            <w:r>
              <w:t xml:space="preserve">Correct application of PRC laws and Beijing local regulations.</w:t>
            </w:r>
          </w:p>
        </w:tc>
      </w:tr>
      <w:tr>
        <w:tc>
          <w:tcPr/>
          <w:p>
            <w:pPr>
              <w:pStyle w:val="Compact"/>
              <w:jc w:val="left"/>
            </w:pPr>
            <w:r>
              <w:t xml:space="preserve">Strategic Soundness</w:t>
            </w:r>
          </w:p>
        </w:tc>
        <w:tc>
          <w:tcPr/>
          <w:p>
            <w:pPr>
              <w:pStyle w:val="Compact"/>
              <w:jc w:val="left"/>
            </w:pPr>
            <w:r>
              <w:t xml:space="preserve">Logic and feasibility of the proposed legal strategy.</w:t>
            </w:r>
          </w:p>
        </w:tc>
      </w:tr>
      <w:tr>
        <w:tc>
          <w:tcPr/>
          <w:p>
            <w:pPr>
              <w:pStyle w:val="Compact"/>
              <w:jc w:val="left"/>
            </w:pPr>
            <w:r>
              <w:t xml:space="preserve">Communication</w:t>
            </w:r>
          </w:p>
        </w:tc>
        <w:tc>
          <w:tcPr/>
          <w:p>
            <w:pPr>
              <w:pStyle w:val="Compact"/>
              <w:jc w:val="left"/>
            </w:pPr>
            <w:r>
              <w:t xml:space="preserve">Clarity, persuasiveness, and cultural sensitivity in interactions.</w:t>
            </w:r>
          </w:p>
        </w:tc>
      </w:tr>
      <w:tr>
        <w:tc>
          <w:tcPr/>
          <w:p>
            <w:pPr>
              <w:pStyle w:val="Compact"/>
              <w:jc w:val="left"/>
            </w:pPr>
            <w:r>
              <w:t xml:space="preserve">Ethical Compliance</w:t>
            </w:r>
          </w:p>
        </w:tc>
        <w:tc>
          <w:tcPr/>
          <w:p>
            <w:pPr>
              <w:pStyle w:val="Compact"/>
              <w:jc w:val="left"/>
            </w:pPr>
            <w:r>
              <w:t xml:space="preserve">Adherence to professional ethics and confidentiality standards.</w:t>
            </w:r>
          </w:p>
        </w:tc>
      </w:tr>
    </w:tbl>
    <w:bookmarkEnd w:id="31"/>
    <w:bookmarkStart w:id="32" w:name="ethical-considerations"/>
    <w:p>
      <w:pPr>
        <w:pStyle w:val="Heading2"/>
      </w:pPr>
      <w:r>
        <w:t xml:space="preserve">7. Ethical Considerations</w:t>
      </w:r>
    </w:p>
    <w:p>
      <w:pPr>
        <w:pStyle w:val="FirstParagraph"/>
      </w:pPr>
      <w:r>
        <w:t xml:space="preserve">This Experiment Protocol strictly adheres to ethical standards. All participants will provide informed consent prior to the study. Confidentiality of the participants' identities and performance data will be maintained. The scenarios used are purely hypothetical and do not involve real clients or sensitive state secrets, ensuring compliance with national security laws in China Beijing.</w:t>
      </w:r>
    </w:p>
    <w:bookmarkEnd w:id="32"/>
    <w:bookmarkStart w:id="33" w:name="conclusion"/>
    <w:p>
      <w:pPr>
        <w:pStyle w:val="Heading2"/>
      </w:pPr>
      <w:r>
        <w:t xml:space="preserve">8. Conclusion</w:t>
      </w:r>
    </w:p>
    <w:p>
      <w:pPr>
        <w:pStyle w:val="FirstParagraph"/>
      </w:pPr>
      <w:r>
        <w:t xml:space="preserve">This protocol provides a structured framework for evaluating the competencies of Lawyers in China Beijing. By simulating realistic legal environments, this experiment aims to contribute valuable insights into legal education, professional development, and the overall quality of legal services in the region. The findings will be used to recommend improvements in training programs for Lawyers to better serve the evolving needs of society in China Beijing.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Simulation in China Beijing</dc:title>
  <dc:creator/>
  <dc:language>en</dc:language>
  <cp:keywords/>
  <dcterms:created xsi:type="dcterms:W3CDTF">2026-10-10T02:31:29Z</dcterms:created>
  <dcterms:modified xsi:type="dcterms:W3CDTF">2026-10-10T02:31:29Z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