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Efficiency</w:t>
      </w:r>
      <w:r>
        <w:t xml:space="preserve"> </w:t>
      </w:r>
      <w:r>
        <w:t xml:space="preserve">in</w:t>
      </w:r>
      <w:r>
        <w:t xml:space="preserve"> </w:t>
      </w:r>
      <w:r>
        <w:t xml:space="preserve">Bogotá,</w:t>
      </w:r>
      <w:r>
        <w:t xml:space="preserve"> </w:t>
      </w:r>
      <w:r>
        <w:t xml:space="preserve">Colombia</w:t>
      </w:r>
    </w:p>
    <w:bookmarkStart w:id="36" w:name="X9f5f9269c6328133b3c22f87de6192e529cc595"/>
    <w:p>
      <w:pPr>
        <w:pStyle w:val="Heading1"/>
      </w:pPr>
      <w:r>
        <w:t xml:space="preserve">Experiment Protocol: Comparative Analysis of Legal Service Delivery Models</w:t>
      </w:r>
    </w:p>
    <w:p>
      <w:pPr>
        <w:pStyle w:val="FirstParagraph"/>
      </w:pPr>
      <w:r>
        <w:rPr>
          <w:bCs/>
          <w:b/>
        </w:rPr>
        <w:t xml:space="preserve">Project Title:</w:t>
      </w:r>
      <w:r>
        <w:t xml:space="preserve"> </w:t>
      </w:r>
      <w:r>
        <w:t xml:space="preserve">Efficiency and Accessibility of Legal Representation in Urban Colombia</w:t>
      </w:r>
    </w:p>
    <w:p>
      <w:pPr>
        <w:pStyle w:val="BodyText"/>
      </w:pPr>
      <w:r>
        <w:rPr>
          <w:bCs/>
          <w:b/>
        </w:rPr>
        <w:t xml:space="preserve">Location:</w:t>
      </w:r>
      <w:r>
        <w:t xml:space="preserve"> </w:t>
      </w:r>
      <w:r>
        <w:t xml:space="preserve">Bogotá D.C., Colombia</w:t>
      </w:r>
    </w:p>
    <w:p>
      <w:pPr>
        <w:pStyle w:val="BodyText"/>
      </w:pPr>
      <w:r>
        <w:rPr>
          <w:bCs/>
          <w:b/>
        </w:rPr>
        <w:t xml:space="preserve">Subject:</w:t>
      </w:r>
      <w:r>
        <w:t xml:space="preserve"> </w:t>
      </w:r>
      <w:r>
        <w:t xml:space="preserve">Professional Practice of the Lawyer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The legal landscape in</w:t>
      </w:r>
      <w:r>
        <w:t xml:space="preserve"> </w:t>
      </w:r>
      <w:r>
        <w:rPr>
          <w:bCs/>
          <w:b/>
        </w:rPr>
        <w:t xml:space="preserve">Colombia</w:t>
      </w:r>
      <w:r>
        <w:t xml:space="preserve"> </w:t>
      </w:r>
      <w:r>
        <w:t xml:space="preserve">has undergone significant transformation over the last two decades, particularly following the implementation of the 1991 Constitution and the subsequent judicial reforms.</w:t>
      </w:r>
      <w:r>
        <w:t xml:space="preserve"> </w:t>
      </w:r>
      <w:r>
        <w:rPr>
          <w:bCs/>
          <w:b/>
        </w:rPr>
        <w:t xml:space="preserve">Bogotá</w:t>
      </w:r>
      <w:r>
        <w:t xml:space="preserve">, as the capital and judicial hub of the nation, hosts the Supreme Court of Justice, the Constitutional Court, and the Council of State. Consequently, the city represents the epicenter of legal activity in the country.</w:t>
      </w:r>
    </w:p>
    <w:p>
      <w:pPr>
        <w:pStyle w:val="BodyText"/>
      </w:pPr>
      <w:r>
        <w:t xml:space="preserve">This</w:t>
      </w:r>
      <w:r>
        <w:t xml:space="preserve"> </w:t>
      </w:r>
      <w:r>
        <w:rPr>
          <w:bCs/>
          <w:b/>
        </w:rPr>
        <w:t xml:space="preserve">Experiment Protocol</w:t>
      </w:r>
      <w:r>
        <w:t xml:space="preserve"> </w:t>
      </w:r>
      <w:r>
        <w:t xml:space="preserve">aims to evaluate the operational efficiency, client satisfaction, and procedural adherence of the</w:t>
      </w:r>
      <w:r>
        <w:t xml:space="preserve"> </w:t>
      </w:r>
      <w:r>
        <w:rPr>
          <w:bCs/>
          <w:b/>
        </w:rPr>
        <w:t xml:space="preserve">Lawyer</w:t>
      </w:r>
      <w:r>
        <w:t xml:space="preserve"> </w:t>
      </w:r>
      <w:r>
        <w:t xml:space="preserve">profession within the specific context of Bogotá's civil and commercial litigation. The study seeks to compare traditional legal service delivery methods against emerging technology-integrated models (LegalTech) to determine their impact on case resolution times and cost-effectiveness.</w:t>
      </w:r>
    </w:p>
    <w:bookmarkEnd w:id="20"/>
    <w:bookmarkStart w:id="23" w:name="objectives"/>
    <w:p>
      <w:pPr>
        <w:pStyle w:val="Heading2"/>
      </w:pPr>
      <w:r>
        <w:t xml:space="preserve">2. Objectives</w:t>
      </w:r>
    </w:p>
    <w:bookmarkStart w:id="21" w:name="primary-objective"/>
    <w:p>
      <w:pPr>
        <w:pStyle w:val="Heading3"/>
      </w:pPr>
      <w:r>
        <w:t xml:space="preserve">2.1 Primary Objective</w:t>
      </w:r>
    </w:p>
    <w:p>
      <w:pPr>
        <w:pStyle w:val="FirstParagraph"/>
      </w:pPr>
      <w:r>
        <w:t xml:space="preserve">To measure the variance in procedural efficiency when a</w:t>
      </w:r>
      <w:r>
        <w:t xml:space="preserve"> </w:t>
      </w:r>
      <w:r>
        <w:rPr>
          <w:bCs/>
          <w:b/>
        </w:rPr>
        <w:t xml:space="preserve">Lawyer</w:t>
      </w:r>
      <w:r>
        <w:t xml:space="preserve"> </w:t>
      </w:r>
      <w:r>
        <w:t xml:space="preserve">in</w:t>
      </w:r>
      <w:r>
        <w:t xml:space="preserve"> </w:t>
      </w:r>
      <w:r>
        <w:rPr>
          <w:bCs/>
          <w:b/>
        </w:rPr>
        <w:t xml:space="preserve">Bogotá</w:t>
      </w:r>
      <w:r>
        <w:t xml:space="preserve"> </w:t>
      </w:r>
      <w:r>
        <w:t xml:space="preserve">utilizes digital case management tools compared to traditional analog methods, within the framework of the Colombian Civil Procedure Code.</w:t>
      </w:r>
    </w:p>
    <w:bookmarkEnd w:id="21"/>
    <w:bookmarkStart w:id="22" w:name="secondary-objectives"/>
    <w:p>
      <w:pPr>
        <w:pStyle w:val="Heading3"/>
      </w:pPr>
      <w:r>
        <w:t xml:space="preserve">2.2 Secondary Objectives</w:t>
      </w:r>
    </w:p>
    <w:p>
      <w:pPr>
        <w:numPr>
          <w:ilvl w:val="0"/>
          <w:numId w:val="1001"/>
        </w:numPr>
        <w:pStyle w:val="Compact"/>
      </w:pPr>
      <w:r>
        <w:t xml:space="preserve">To assess the impact of geographic location within Bogotá (e.g., La Candelaria vs. Norte de Bogotá) on the accessibility of legal services.</w:t>
      </w:r>
    </w:p>
    <w:p>
      <w:pPr>
        <w:numPr>
          <w:ilvl w:val="0"/>
          <w:numId w:val="1001"/>
        </w:numPr>
        <w:pStyle w:val="Compact"/>
      </w:pPr>
      <w:r>
        <w:t xml:space="preserve">To evaluate the compliance of participating lawyers with the ethical standards set by the Colombian Bar Association (Asociación Colombiana de Abogados).</w:t>
      </w:r>
    </w:p>
    <w:p>
      <w:pPr>
        <w:numPr>
          <w:ilvl w:val="0"/>
          <w:numId w:val="1001"/>
        </w:numPr>
        <w:pStyle w:val="Compact"/>
      </w:pPr>
      <w:r>
        <w:t xml:space="preserve">To analyze the correlation between lawyer specialization and client satisfaction rates in urban Colombia.</w:t>
      </w:r>
    </w:p>
    <w:bookmarkEnd w:id="22"/>
    <w:bookmarkEnd w:id="23"/>
    <w:bookmarkStart w:id="27" w:name="methodology"/>
    <w:p>
      <w:pPr>
        <w:pStyle w:val="Heading2"/>
      </w:pPr>
      <w:r>
        <w:t xml:space="preserve">3. Methodology</w:t>
      </w:r>
    </w:p>
    <w:p>
      <w:pPr>
        <w:pStyle w:val="FirstParagraph"/>
      </w:pPr>
      <w:r>
        <w:t xml:space="preserve">This</w:t>
      </w:r>
      <w:r>
        <w:t xml:space="preserve"> </w:t>
      </w:r>
      <w:r>
        <w:rPr>
          <w:bCs/>
          <w:b/>
        </w:rPr>
        <w:t xml:space="preserve">Experiment Protocol</w:t>
      </w:r>
      <w:r>
        <w:t xml:space="preserve"> </w:t>
      </w:r>
      <w:r>
        <w:t xml:space="preserve">employs a mixed-methods approach, combining quantitative data analysis with qualitative interviews. The study will be conducted over a period of 12 months.</w:t>
      </w:r>
    </w:p>
    <w:bookmarkStart w:id="24" w:name="study-population-and-sampling"/>
    <w:p>
      <w:pPr>
        <w:pStyle w:val="Heading3"/>
      </w:pPr>
      <w:r>
        <w:t xml:space="preserve">3.1 Study Population and Sampling</w:t>
      </w:r>
    </w:p>
    <w:p>
      <w:pPr>
        <w:pStyle w:val="FirstParagraph"/>
      </w:pPr>
      <w:r>
        <w:t xml:space="preserve">The target population consists of licensed</w:t>
      </w:r>
      <w:r>
        <w:t xml:space="preserve"> </w:t>
      </w:r>
      <w:r>
        <w:rPr>
          <w:bCs/>
          <w:b/>
        </w:rPr>
        <w:t xml:space="preserve">Lawyer</w:t>
      </w:r>
      <w:r>
        <w:t xml:space="preserve"> </w:t>
      </w:r>
      <w:r>
        <w:t xml:space="preserve">professionals actively practicing in</w:t>
      </w:r>
      <w:r>
        <w:t xml:space="preserve"> </w:t>
      </w:r>
      <w:r>
        <w:rPr>
          <w:bCs/>
          <w:b/>
        </w:rPr>
        <w:t xml:space="preserve">Bogotá D.C.</w:t>
      </w:r>
      <w:r>
        <w:t xml:space="preserve">. Participants must be registered with the local Bar Association and have at least five years of experience.</w:t>
      </w:r>
    </w:p>
    <w:p>
      <w:pPr>
        <w:pStyle w:val="BodyText"/>
      </w:pPr>
      <w:r>
        <w:t xml:space="preserve">A stratified random sampling method will be used to select 200 lawyers. The strata will be defined by:</w:t>
      </w:r>
    </w:p>
    <w:p>
      <w:pPr>
        <w:numPr>
          <w:ilvl w:val="0"/>
          <w:numId w:val="1002"/>
        </w:numPr>
        <w:pStyle w:val="Compact"/>
      </w:pPr>
      <w:r>
        <w:t xml:space="preserve">Area of practice (Civil, Commercial, Labor, Administrative).</w:t>
      </w:r>
    </w:p>
    <w:p>
      <w:pPr>
        <w:numPr>
          <w:ilvl w:val="0"/>
          <w:numId w:val="1002"/>
        </w:numPr>
        <w:pStyle w:val="Compact"/>
      </w:pPr>
      <w:r>
        <w:t xml:space="preserve">Practice setting (Private firm, Public defender, Solo practitioner).</w:t>
      </w:r>
    </w:p>
    <w:bookmarkEnd w:id="24"/>
    <w:bookmarkStart w:id="25" w:name="experimental-design"/>
    <w:p>
      <w:pPr>
        <w:pStyle w:val="Heading3"/>
      </w:pPr>
      <w:r>
        <w:t xml:space="preserve">3.2 Experimental Design</w:t>
      </w:r>
    </w:p>
    <w:p>
      <w:pPr>
        <w:pStyle w:val="FirstParagraph"/>
      </w:pPr>
      <w:r>
        <w:t xml:space="preserve">The selected participants will be divided into two groups:</w:t>
      </w:r>
    </w:p>
    <w:p>
      <w:pPr>
        <w:numPr>
          <w:ilvl w:val="0"/>
          <w:numId w:val="1003"/>
        </w:numPr>
        <w:pStyle w:val="Compact"/>
      </w:pPr>
      <w:r>
        <w:rPr>
          <w:bCs/>
          <w:b/>
        </w:rPr>
        <w:t xml:space="preserve">Control Group (n=100):</w:t>
      </w:r>
      <w:r>
        <w:t xml:space="preserve"> </w:t>
      </w:r>
      <w:r>
        <w:t xml:space="preserve">Lawyers who continue their standard practice using traditional methods (physical filing, in-person meetings, standard email).</w:t>
      </w:r>
    </w:p>
    <w:p>
      <w:pPr>
        <w:numPr>
          <w:ilvl w:val="0"/>
          <w:numId w:val="1003"/>
        </w:numPr>
        <w:pStyle w:val="Compact"/>
      </w:pPr>
      <w:r>
        <w:rPr>
          <w:bCs/>
          <w:b/>
        </w:rPr>
        <w:t xml:space="preserve">Experimental Group (n=100):</w:t>
      </w:r>
      <w:r>
        <w:t xml:space="preserve"> </w:t>
      </w:r>
      <w:r>
        <w:t xml:space="preserve">Lawyers who are provided with and required to use a standardized LegalTech platform for case management, client communication, and electronic filing via the Colombian judicial portal (Rama Judicial).</w:t>
      </w:r>
    </w:p>
    <w:bookmarkEnd w:id="25"/>
    <w:bookmarkStart w:id="26" w:name="data-collection-instruments"/>
    <w:p>
      <w:pPr>
        <w:pStyle w:val="Heading3"/>
      </w:pPr>
      <w:r>
        <w:t xml:space="preserve">3.3 Data Collection Instruments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Description</w:t>
            </w:r>
          </w:p>
        </w:tc>
        <w:tc>
          <w:tcPr/>
          <w:p>
            <w:pPr>
              <w:pStyle w:val="Compact"/>
              <w:jc w:val="left"/>
            </w:pPr>
            <w:r>
              <w:t xml:space="preserve">Frequency</w:t>
            </w:r>
          </w:p>
        </w:tc>
      </w:tr>
      <w:tr>
        <w:tc>
          <w:tcPr/>
          <w:p>
            <w:pPr>
              <w:pStyle w:val="Compact"/>
              <w:jc w:val="left"/>
            </w:pPr>
            <w:r>
              <w:t xml:space="preserve">Case Log Sheets</w:t>
            </w:r>
          </w:p>
        </w:tc>
        <w:tc>
          <w:tcPr/>
          <w:p>
            <w:pPr>
              <w:pStyle w:val="Compact"/>
              <w:jc w:val="left"/>
            </w:pPr>
            <w:r>
              <w:t xml:space="preserve">Digital forms tracking time spent on specific case tasks.</w:t>
            </w:r>
          </w:p>
        </w:tc>
        <w:tc>
          <w:tcPr/>
          <w:p>
            <w:pPr>
              <w:pStyle w:val="Compact"/>
              <w:jc w:val="left"/>
            </w:pPr>
            <w:r>
              <w:t xml:space="preserve">Weekly</w:t>
            </w:r>
          </w:p>
        </w:tc>
      </w:tr>
      <w:tr>
        <w:tc>
          <w:tcPr/>
          <w:p>
            <w:pPr>
              <w:pStyle w:val="Compact"/>
              <w:jc w:val="left"/>
            </w:pPr>
            <w:r>
              <w:t xml:space="preserve">Client Surveys</w:t>
            </w:r>
          </w:p>
        </w:tc>
        <w:tc>
          <w:tcPr/>
          <w:p>
            <w:pPr>
              <w:pStyle w:val="Compact"/>
              <w:jc w:val="left"/>
            </w:pPr>
            <w:r>
              <w:t xml:space="preserve">Standardized questionnaires measuring satisfaction and perceived value.</w:t>
            </w:r>
          </w:p>
        </w:tc>
        <w:tc>
          <w:tcPr/>
          <w:p>
            <w:pPr>
              <w:pStyle w:val="Compact"/>
              <w:jc w:val="left"/>
            </w:pPr>
            <w:r>
              <w:t xml:space="preserve">Post-case</w:t>
            </w:r>
          </w:p>
        </w:tc>
      </w:tr>
      <w:tr>
        <w:tc>
          <w:tcPr/>
          <w:p>
            <w:pPr>
              <w:pStyle w:val="Compact"/>
              <w:jc w:val="left"/>
            </w:pPr>
            <w:r>
              <w:t xml:space="preserve">Procedural Audits</w:t>
            </w:r>
          </w:p>
        </w:tc>
        <w:tc>
          <w:tcPr/>
          <w:p>
            <w:pPr>
              <w:pStyle w:val="Compact"/>
              <w:jc w:val="left"/>
            </w:pPr>
            <w:r>
              <w:t xml:space="preserve">Review of case files for compliance with Colombian procedural deadlines.</w:t>
            </w:r>
          </w:p>
        </w:tc>
        <w:tc>
          <w:tcPr/>
          <w:p>
            <w:pPr>
              <w:pStyle w:val="Compact"/>
              <w:jc w:val="left"/>
            </w:pPr>
            <w:r>
              <w:t xml:space="preserve">Monthly</w:t>
            </w:r>
          </w:p>
        </w:tc>
      </w:tr>
    </w:tbl>
    <w:bookmarkEnd w:id="26"/>
    <w:bookmarkEnd w:id="27"/>
    <w:bookmarkStart w:id="31" w:name="procedures"/>
    <w:p>
      <w:pPr>
        <w:pStyle w:val="Heading2"/>
      </w:pPr>
      <w:r>
        <w:t xml:space="preserve">4. Procedures</w:t>
      </w:r>
    </w:p>
    <w:bookmarkStart w:id="28" w:name="recruitment-and-consent"/>
    <w:p>
      <w:pPr>
        <w:pStyle w:val="Heading3"/>
      </w:pPr>
      <w:r>
        <w:t xml:space="preserve">4.1 Recruitment and Consent</w:t>
      </w:r>
    </w:p>
    <w:p>
      <w:pPr>
        <w:pStyle w:val="FirstParagraph"/>
      </w:pPr>
      <w:r>
        <w:t xml:space="preserve">Recruitment will be conducted through the Bogotá Bar Association. All participating</w:t>
      </w:r>
      <w:r>
        <w:t xml:space="preserve"> </w:t>
      </w:r>
      <w:r>
        <w:rPr>
          <w:bCs/>
          <w:b/>
        </w:rPr>
        <w:t xml:space="preserve">Lawyer</w:t>
      </w:r>
      <w:r>
        <w:t xml:space="preserve"> </w:t>
      </w:r>
      <w:r>
        <w:t xml:space="preserve">candidates must provide informed consent, acknowledging the data collection requirements and the confidentiality protocols.</w:t>
      </w:r>
    </w:p>
    <w:bookmarkEnd w:id="28"/>
    <w:bookmarkStart w:id="29" w:name="training-phase"/>
    <w:p>
      <w:pPr>
        <w:pStyle w:val="Heading3"/>
      </w:pPr>
      <w:r>
        <w:t xml:space="preserve">4.2 Training Phase</w:t>
      </w:r>
    </w:p>
    <w:p>
      <w:pPr>
        <w:pStyle w:val="FirstParagraph"/>
      </w:pPr>
      <w:r>
        <w:t xml:space="preserve">The Experimental Group will undergo a mandatory two-day training workshop in Bogotá on the use of the designated LegalTech tools. The Control Group will receive no additional training.</w:t>
      </w:r>
    </w:p>
    <w:bookmarkEnd w:id="29"/>
    <w:bookmarkStart w:id="30" w:name="implementation-phase"/>
    <w:p>
      <w:pPr>
        <w:pStyle w:val="Heading3"/>
      </w:pPr>
      <w:r>
        <w:t xml:space="preserve">4.3 Implementation Phase</w:t>
      </w:r>
    </w:p>
    <w:p>
      <w:pPr>
        <w:pStyle w:val="FirstParagraph"/>
      </w:pPr>
      <w:r>
        <w:t xml:space="preserve">For the duration of the experiment, both groups will handle new cases assigned through a randomized distribution system managed by the research team. This ensures that case complexity is balanced across groups. All legal actions must adhere strictly to the laws of</w:t>
      </w:r>
      <w:r>
        <w:t xml:space="preserve"> </w:t>
      </w:r>
      <w:r>
        <w:rPr>
          <w:bCs/>
          <w:b/>
        </w:rPr>
        <w:t xml:space="preserve">Colombia</w:t>
      </w:r>
      <w:r>
        <w:t xml:space="preserve">.</w:t>
      </w:r>
    </w:p>
    <w:bookmarkEnd w:id="30"/>
    <w:bookmarkEnd w:id="31"/>
    <w:bookmarkStart w:id="32" w:name="ethical-considerations"/>
    <w:p>
      <w:pPr>
        <w:pStyle w:val="Heading2"/>
      </w:pPr>
      <w:r>
        <w:t xml:space="preserve">5. Ethical Considerations</w:t>
      </w:r>
    </w:p>
    <w:p>
      <w:pPr>
        <w:pStyle w:val="FirstParagraph"/>
      </w:pPr>
      <w:r>
        <w:t xml:space="preserve">Given the sensitive nature of legal work in</w:t>
      </w:r>
      <w:r>
        <w:t xml:space="preserve"> </w:t>
      </w:r>
      <w:r>
        <w:rPr>
          <w:bCs/>
          <w:b/>
        </w:rPr>
        <w:t xml:space="preserve">Colombia</w:t>
      </w:r>
      <w:r>
        <w:t xml:space="preserve">, this</w:t>
      </w:r>
      <w:r>
        <w:t xml:space="preserve"> </w:t>
      </w:r>
      <w:r>
        <w:rPr>
          <w:bCs/>
          <w:b/>
        </w:rPr>
        <w:t xml:space="preserve">Experiment Protocol</w:t>
      </w:r>
      <w:r>
        <w:t xml:space="preserve"> </w:t>
      </w:r>
      <w:r>
        <w:t xml:space="preserve">prioritizes ethical integrity.</w:t>
      </w:r>
    </w:p>
    <w:p>
      <w:pPr>
        <w:numPr>
          <w:ilvl w:val="0"/>
          <w:numId w:val="1004"/>
        </w:numPr>
        <w:pStyle w:val="Compact"/>
      </w:pPr>
      <w:r>
        <w:rPr>
          <w:bCs/>
          <w:b/>
        </w:rPr>
        <w:t xml:space="preserve">Confidentiality:</w:t>
      </w:r>
      <w:r>
        <w:t xml:space="preserve"> </w:t>
      </w:r>
      <w:r>
        <w:t xml:space="preserve">All client data will be anonymized in accordance with Law 1581 of 2012 (Colombian Data Protection Law).</w:t>
      </w:r>
    </w:p>
    <w:p>
      <w:pPr>
        <w:numPr>
          <w:ilvl w:val="0"/>
          <w:numId w:val="1004"/>
        </w:numPr>
        <w:pStyle w:val="Compact"/>
      </w:pPr>
      <w:r>
        <w:rPr>
          <w:bCs/>
          <w:b/>
        </w:rPr>
        <w:t xml:space="preserve">Conflict of Interest:</w:t>
      </w:r>
      <w:r>
        <w:t xml:space="preserve"> </w:t>
      </w:r>
      <w:r>
        <w:t xml:space="preserve">Participating lawyers must declare any conflicts of interest prior to enrollment.</w:t>
      </w:r>
    </w:p>
    <w:p>
      <w:pPr>
        <w:numPr>
          <w:ilvl w:val="0"/>
          <w:numId w:val="1004"/>
        </w:numPr>
        <w:pStyle w:val="Compact"/>
      </w:pPr>
      <w:r>
        <w:rPr>
          <w:bCs/>
          <w:b/>
        </w:rPr>
        <w:t xml:space="preserve">Professional Standards:</w:t>
      </w:r>
      <w:r>
        <w:t xml:space="preserve"> </w:t>
      </w:r>
      <w:r>
        <w:t xml:space="preserve">The experiment must not compromise the duty of diligence owed by the</w:t>
      </w:r>
      <w:r>
        <w:t xml:space="preserve"> </w:t>
      </w:r>
      <w:r>
        <w:rPr>
          <w:bCs/>
          <w:b/>
        </w:rPr>
        <w:t xml:space="preserve">Lawyer</w:t>
      </w:r>
      <w:r>
        <w:t xml:space="preserve"> </w:t>
      </w:r>
      <w:r>
        <w:t xml:space="preserve">to their client.</w:t>
      </w:r>
    </w:p>
    <w:bookmarkEnd w:id="32"/>
    <w:bookmarkStart w:id="33" w:name="data-analysis"/>
    <w:p>
      <w:pPr>
        <w:pStyle w:val="Heading2"/>
      </w:pPr>
      <w:r>
        <w:t xml:space="preserve">6. Data Analysis</w:t>
      </w:r>
    </w:p>
    <w:p>
      <w:pPr>
        <w:pStyle w:val="FirstParagraph"/>
      </w:pPr>
      <w:r>
        <w:t xml:space="preserve">Quantitative data regarding case duration and cost will be analyzed using statistical software (SPSS). We will perform t-tests to compare the mean efficiency metrics between the Control and Experimental groups. Qualitative data from interviews will be coded thematically to identify patterns in the professional experience of lawyers in</w:t>
      </w:r>
      <w:r>
        <w:t xml:space="preserve"> </w:t>
      </w:r>
      <w:r>
        <w:rPr>
          <w:bCs/>
          <w:b/>
        </w:rPr>
        <w:t xml:space="preserve">Bogotá</w:t>
      </w:r>
      <w:r>
        <w:t xml:space="preserve">.</w:t>
      </w:r>
    </w:p>
    <w:bookmarkEnd w:id="33"/>
    <w:bookmarkStart w:id="34" w:name="expected-outcomes"/>
    <w:p>
      <w:pPr>
        <w:pStyle w:val="Heading2"/>
      </w:pPr>
      <w:r>
        <w:t xml:space="preserve">7. Expected Outcomes</w:t>
      </w:r>
    </w:p>
    <w:p>
      <w:pPr>
        <w:pStyle w:val="FirstParagraph"/>
      </w:pPr>
      <w:r>
        <w:t xml:space="preserve">It is hypothesized that the integration of technology will reduce procedural delays by approximately 20% for the Experimental Group. Furthermore, this</w:t>
      </w:r>
      <w:r>
        <w:t xml:space="preserve"> </w:t>
      </w:r>
      <w:r>
        <w:rPr>
          <w:bCs/>
          <w:b/>
        </w:rPr>
        <w:t xml:space="preserve">Experiment Protocol</w:t>
      </w:r>
      <w:r>
        <w:t xml:space="preserve"> </w:t>
      </w:r>
      <w:r>
        <w:t xml:space="preserve">aims to provide actionable recommendations for the Colombian judicial system to modernize legal practice in</w:t>
      </w:r>
      <w:r>
        <w:t xml:space="preserve"> </w:t>
      </w:r>
      <w:r>
        <w:rPr>
          <w:bCs/>
          <w:b/>
        </w:rPr>
        <w:t xml:space="preserve">Bogotá</w:t>
      </w:r>
      <w:r>
        <w:t xml:space="preserve">, ultimately enhancing access to justice for citizens.</w:t>
      </w:r>
    </w:p>
    <w:bookmarkEnd w:id="34"/>
    <w:bookmarkStart w:id="35" w:name="dissemination"/>
    <w:p>
      <w:pPr>
        <w:pStyle w:val="Heading2"/>
      </w:pPr>
      <w:r>
        <w:t xml:space="preserve">8. Dissemination</w:t>
      </w:r>
    </w:p>
    <w:p>
      <w:pPr>
        <w:pStyle w:val="FirstParagraph"/>
      </w:pPr>
      <w:r>
        <w:t xml:space="preserve">The findings of this study will be published in peer-reviewed legal journals and presented at the Annual Congress of the Colombian Bar Association. A summary report will be submitted to the Ministry of Justice and Law of Colombia.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Efficiency in Bogotá, Colombia</dc:title>
  <dc:creator/>
  <dc:language>en</dc:language>
  <cp:keywords/>
  <dcterms:created xsi:type="dcterms:W3CDTF">2026-10-10T05:49:27Z</dcterms:created>
  <dcterms:modified xsi:type="dcterms:W3CDTF">2026-10-10T05:49:27Z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