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France</w:t>
      </w:r>
      <w:r>
        <w:t xml:space="preserve"> </w:t>
      </w:r>
      <w:r>
        <w:t xml:space="preserve">Paris</w:t>
      </w:r>
    </w:p>
    <w:bookmarkStart w:id="20" w:name="X9afcf47cc4ec58b1e51ac3dc932821ffa960d6c"/>
    <w:p>
      <w:pPr>
        <w:pStyle w:val="Heading1"/>
      </w:pPr>
      <w:r>
        <w:t xml:space="preserve">Experiment Protocol: Comparative Analysis of Legal Practice</w:t>
      </w:r>
    </w:p>
    <w:p>
      <w:pPr>
        <w:pStyle w:val="FirstParagraph"/>
      </w:pPr>
      <w:r>
        <w:rPr>
          <w:bCs/>
          <w:b/>
        </w:rPr>
        <w:t xml:space="preserve">Subject:</w:t>
      </w:r>
      <w:r>
        <w:t xml:space="preserve"> </w:t>
      </w:r>
      <w:r>
        <w:t xml:space="preserve">The Role and Functionality of the Lawyer in France Paris</w:t>
      </w:r>
    </w:p>
    <w:p>
      <w:pPr>
        <w:pStyle w:val="BodyText"/>
      </w:pPr>
      <w:r>
        <w:rPr>
          <w:bCs/>
          <w:b/>
        </w:rPr>
        <w:t xml:space="preserve">Location:</w:t>
      </w:r>
      <w:r>
        <w:t xml:space="preserve"> </w:t>
      </w:r>
      <w:r>
        <w:t xml:space="preserve">Paris, France (Île-de-France Region)</w:t>
      </w:r>
    </w:p>
    <w:p>
      <w:pPr>
        <w:pStyle w:val="BodyText"/>
      </w:pPr>
      <w:r>
        <w:rPr>
          <w:bCs/>
          <w:b/>
        </w:rPr>
        <w:t xml:space="preserve">Document Type:</w:t>
      </w:r>
      <w:r>
        <w:t xml:space="preserve"> </w:t>
      </w:r>
      <w:r>
        <w:t xml:space="preserve">Research and Observation Protocol</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comprehensive study regarding the professional conduct, procedural obligations, and societal role of the</w:t>
      </w:r>
      <w:r>
        <w:t xml:space="preserve"> </w:t>
      </w:r>
      <w:r>
        <w:rPr>
          <w:bCs/>
          <w:b/>
        </w:rPr>
        <w:t xml:space="preserve">Lawyer</w:t>
      </w:r>
      <w:r>
        <w:t xml:space="preserve"> </w:t>
      </w:r>
      <w:r>
        <w:t xml:space="preserve">within the specific jurisdiction of</w:t>
      </w:r>
      <w:r>
        <w:t xml:space="preserve"> </w:t>
      </w:r>
      <w:r>
        <w:rPr>
          <w:bCs/>
          <w:b/>
        </w:rPr>
        <w:t xml:space="preserve">France Paris</w:t>
      </w:r>
      <w:r>
        <w:t xml:space="preserve">. The legal landscape in Paris is distinct due to the concentration of high-level courts, including the Cour de Cassation and the Conseil d'État, as well as the unique regulatory framework governing the Bar Association (Ordre des Avocats).</w:t>
      </w:r>
    </w:p>
    <w:p>
      <w:pPr>
        <w:pStyle w:val="BodyText"/>
      </w:pPr>
      <w:r>
        <w:t xml:space="preserve">The primary objective of this experiment is to observe and document the operational realities of legal practice in the capital. This includes analyzing the interaction between the</w:t>
      </w:r>
      <w:r>
        <w:t xml:space="preserve"> </w:t>
      </w:r>
      <w:r>
        <w:rPr>
          <w:bCs/>
          <w:b/>
        </w:rPr>
        <w:t xml:space="preserve">Lawyer</w:t>
      </w:r>
      <w:r>
        <w:t xml:space="preserve"> </w:t>
      </w:r>
      <w:r>
        <w:t xml:space="preserve">and the civil law system, the impact of local Parisian regulations on client representation, and the ethical standards enforced by the local Bar Council.</w:t>
      </w:r>
    </w:p>
    <w:bookmarkEnd w:id="21"/>
    <w:bookmarkStart w:id="24" w:name="scope-and-definitions"/>
    <w:p>
      <w:pPr>
        <w:pStyle w:val="Heading2"/>
      </w:pPr>
      <w:r>
        <w:t xml:space="preserve">2. Scope and Definitions</w:t>
      </w:r>
    </w:p>
    <w:bookmarkStart w:id="22" w:name="the-lawyer-avocat"/>
    <w:p>
      <w:pPr>
        <w:pStyle w:val="Heading3"/>
      </w:pPr>
      <w:r>
        <w:t xml:space="preserve">2.1 The Lawyer (Avocat)</w:t>
      </w:r>
    </w:p>
    <w:p>
      <w:pPr>
        <w:pStyle w:val="FirstParagraph"/>
      </w:pPr>
      <w:r>
        <w:t xml:space="preserve">For the purposes of this protocol, the term</w:t>
      </w:r>
      <w:r>
        <w:t xml:space="preserve"> </w:t>
      </w:r>
      <w:r>
        <w:rPr>
          <w:bCs/>
          <w:b/>
        </w:rPr>
        <w:t xml:space="preserve">Lawyer</w:t>
      </w:r>
      <w:r>
        <w:t xml:space="preserve"> </w:t>
      </w:r>
      <w:r>
        <w:t xml:space="preserve">refers specifically to the "Avocat" as defined by the Code de Déontologie des Avocats. This excludes notaries (notaires) and bailiffs (huissiers), focusing solely on attorneys admitted to the Bar of Paris (Barreau de Paris). The study will examine both junior associates and senior partners to ensure a representative sample.</w:t>
      </w:r>
    </w:p>
    <w:bookmarkEnd w:id="22"/>
    <w:bookmarkStart w:id="23" w:name="the-jurisdiction-france-paris"/>
    <w:p>
      <w:pPr>
        <w:pStyle w:val="Heading3"/>
      </w:pPr>
      <w:r>
        <w:t xml:space="preserve">2.2 The Jurisdiction: France Paris</w:t>
      </w:r>
    </w:p>
    <w:p>
      <w:pPr>
        <w:pStyle w:val="FirstParagraph"/>
      </w:pPr>
      <w:r>
        <w:t xml:space="preserve">The geographical and legal scope is limited to</w:t>
      </w:r>
      <w:r>
        <w:t xml:space="preserve"> </w:t>
      </w:r>
      <w:r>
        <w:rPr>
          <w:bCs/>
          <w:b/>
        </w:rPr>
        <w:t xml:space="preserve">France Paris</w:t>
      </w:r>
      <w:r>
        <w:t xml:space="preserve">. This distinction is critical because Paris operates under specific procedural nuances compared to provincial courts. The high volume of cases in the Tribunal Judiciaire de Paris necessitates specific time-management strategies and procedural shortcuts that are unique to this metropolitan area.</w:t>
      </w:r>
    </w:p>
    <w:bookmarkEnd w:id="23"/>
    <w:bookmarkEnd w:id="24"/>
    <w:bookmarkStart w:id="28" w:name="methodology"/>
    <w:p>
      <w:pPr>
        <w:pStyle w:val="Heading2"/>
      </w:pPr>
      <w:r>
        <w:t xml:space="preserve">3. Methodology</w:t>
      </w:r>
    </w:p>
    <w:p>
      <w:pPr>
        <w:pStyle w:val="FirstParagraph"/>
      </w:pPr>
      <w:r>
        <w:t xml:space="preserve">The experiment will utilize a mixed-methods approach, combining qualitative observation with quantitative data analysis. The protocol is divided into three phases.</w:t>
      </w:r>
    </w:p>
    <w:bookmarkStart w:id="25" w:name="phase-1-regulatory-review"/>
    <w:p>
      <w:pPr>
        <w:pStyle w:val="Heading3"/>
      </w:pPr>
      <w:r>
        <w:t xml:space="preserve">Phase 1: Regulatory Review</w:t>
      </w:r>
    </w:p>
    <w:p>
      <w:pPr>
        <w:pStyle w:val="FirstParagraph"/>
      </w:pPr>
      <w:r>
        <w:t xml:space="preserve">Researchers will conduct a thorough review of the statutory requirements for practicing as a</w:t>
      </w:r>
      <w:r>
        <w:t xml:space="preserve"> </w:t>
      </w:r>
      <w:r>
        <w:rPr>
          <w:bCs/>
          <w:b/>
        </w:rPr>
        <w:t xml:space="preserve">Lawyer</w:t>
      </w:r>
      <w:r>
        <w:t xml:space="preserve"> </w:t>
      </w:r>
      <w:r>
        <w:t xml:space="preserve">in</w:t>
      </w:r>
      <w:r>
        <w:t xml:space="preserve"> </w:t>
      </w:r>
      <w:r>
        <w:rPr>
          <w:bCs/>
          <w:b/>
        </w:rPr>
        <w:t xml:space="preserve">France Paris</w:t>
      </w:r>
      <w:r>
        <w:t xml:space="preserve">. This includes:</w:t>
      </w:r>
    </w:p>
    <w:p>
      <w:pPr>
        <w:numPr>
          <w:ilvl w:val="0"/>
          <w:numId w:val="1001"/>
        </w:numPr>
        <w:pStyle w:val="Compact"/>
      </w:pPr>
      <w:r>
        <w:t xml:space="preserve">Analysis of the admission requirements to the Barreau de Paris.</w:t>
      </w:r>
    </w:p>
    <w:p>
      <w:pPr>
        <w:numPr>
          <w:ilvl w:val="0"/>
          <w:numId w:val="1001"/>
        </w:numPr>
        <w:pStyle w:val="Compact"/>
      </w:pPr>
      <w:r>
        <w:t xml:space="preserve">Review of the mandatory Continuing Professional Development (CPD) hours required annually.</w:t>
      </w:r>
    </w:p>
    <w:p>
      <w:pPr>
        <w:numPr>
          <w:ilvl w:val="0"/>
          <w:numId w:val="1001"/>
        </w:numPr>
        <w:pStyle w:val="Compact"/>
      </w:pPr>
      <w:r>
        <w:t xml:space="preserve">Examination of the specific ethical codes regarding conflict of interest in the dense professional network of Paris.</w:t>
      </w:r>
    </w:p>
    <w:bookmarkEnd w:id="25"/>
    <w:bookmarkStart w:id="26" w:name="phase-2-field-observation"/>
    <w:p>
      <w:pPr>
        <w:pStyle w:val="Heading3"/>
      </w:pPr>
      <w:r>
        <w:t xml:space="preserve">Phase 2: Field Observation</w:t>
      </w:r>
    </w:p>
    <w:p>
      <w:pPr>
        <w:pStyle w:val="FirstParagraph"/>
      </w:pPr>
      <w:r>
        <w:t xml:space="preserve">With appropriate consent and anonymization, observers will document the workflow of selected</w:t>
      </w:r>
      <w:r>
        <w:t xml:space="preserve"> </w:t>
      </w:r>
      <w:r>
        <w:rPr>
          <w:bCs/>
          <w:b/>
        </w:rPr>
        <w:t xml:space="preserve">Lawyer</w:t>
      </w:r>
      <w:r>
        <w:t xml:space="preserve"> </w:t>
      </w:r>
      <w:r>
        <w:t xml:space="preserve">firms in central Paris. Key areas of observation include:</w:t>
      </w:r>
    </w:p>
    <w:p>
      <w:pPr>
        <w:numPr>
          <w:ilvl w:val="0"/>
          <w:numId w:val="1002"/>
        </w:numPr>
        <w:pStyle w:val="Compact"/>
      </w:pPr>
      <w:r>
        <w:rPr>
          <w:bCs/>
          <w:b/>
        </w:rPr>
        <w:t xml:space="preserve">Client Intake:</w:t>
      </w:r>
      <w:r>
        <w:t xml:space="preserve"> </w:t>
      </w:r>
      <w:r>
        <w:t xml:space="preserve">How the</w:t>
      </w:r>
      <w:r>
        <w:t xml:space="preserve"> </w:t>
      </w:r>
      <w:r>
        <w:rPr>
          <w:bCs/>
          <w:b/>
        </w:rPr>
        <w:t xml:space="preserve">Lawyer</w:t>
      </w:r>
      <w:r>
        <w:t xml:space="preserve"> </w:t>
      </w:r>
      <w:r>
        <w:t xml:space="preserve">establishes the mandate (mandat de représentation) in accordance with French civil procedure.</w:t>
      </w:r>
    </w:p>
    <w:p>
      <w:pPr>
        <w:numPr>
          <w:ilvl w:val="0"/>
          <w:numId w:val="1002"/>
        </w:numPr>
        <w:pStyle w:val="Compact"/>
      </w:pPr>
      <w:r>
        <w:rPr>
          <w:bCs/>
          <w:b/>
        </w:rPr>
        <w:t xml:space="preserve">Courtroom Conduct:</w:t>
      </w:r>
      <w:r>
        <w:t xml:space="preserve"> </w:t>
      </w:r>
      <w:r>
        <w:t xml:space="preserve">Observation of oral pleadings (plaidoiries) in the Parisian courts, focusing on the rhetorical style and procedural adherence expected in</w:t>
      </w:r>
      <w:r>
        <w:t xml:space="preserve"> </w:t>
      </w:r>
      <w:r>
        <w:rPr>
          <w:bCs/>
          <w:b/>
        </w:rPr>
        <w:t xml:space="preserve">France Paris</w:t>
      </w:r>
      <w:r>
        <w:t xml:space="preserve">.</w:t>
      </w:r>
    </w:p>
    <w:p>
      <w:pPr>
        <w:numPr>
          <w:ilvl w:val="0"/>
          <w:numId w:val="1002"/>
        </w:numPr>
        <w:pStyle w:val="Compact"/>
      </w:pPr>
      <w:r>
        <w:rPr>
          <w:bCs/>
          <w:b/>
        </w:rPr>
        <w:t xml:space="preserve">Document Drafting:</w:t>
      </w:r>
      <w:r>
        <w:t xml:space="preserve"> </w:t>
      </w:r>
      <w:r>
        <w:t xml:space="preserve">Analysis of the formalism required in legal briefs submitted to Parisian tribunals.</w:t>
      </w:r>
    </w:p>
    <w:bookmarkEnd w:id="26"/>
    <w:bookmarkStart w:id="27" w:name="phase-3-comparative-interviews"/>
    <w:p>
      <w:pPr>
        <w:pStyle w:val="Heading3"/>
      </w:pPr>
      <w:r>
        <w:t xml:space="preserve">Phase 3: Comparative Interviews</w:t>
      </w:r>
    </w:p>
    <w:p>
      <w:pPr>
        <w:pStyle w:val="FirstParagraph"/>
      </w:pPr>
      <w:r>
        <w:t xml:space="preserve">Semi-structured interviews will be conducted with practicing</w:t>
      </w:r>
      <w:r>
        <w:t xml:space="preserve"> </w:t>
      </w:r>
      <w:r>
        <w:rPr>
          <w:bCs/>
          <w:b/>
        </w:rPr>
        <w:t xml:space="preserve">Lawyer</w:t>
      </w:r>
      <w:r>
        <w:t xml:space="preserve">s to understand the subjective experience of working in</w:t>
      </w:r>
      <w:r>
        <w:t xml:space="preserve"> </w:t>
      </w:r>
      <w:r>
        <w:rPr>
          <w:bCs/>
          <w:b/>
        </w:rPr>
        <w:t xml:space="preserve">France Paris</w:t>
      </w:r>
      <w:r>
        <w:t xml:space="preserve">. Questions will address the pressure of the workload, the influence of the Cour de Cassation on daily practice, and the challenges of maintaining client confidentiality in a highly connected legal community.</w:t>
      </w:r>
    </w:p>
    <w:bookmarkEnd w:id="27"/>
    <w:bookmarkEnd w:id="28"/>
    <w:bookmarkStart w:id="29" w:name="ethical-considerations-and-compliance"/>
    <w:p>
      <w:pPr>
        <w:pStyle w:val="Heading2"/>
      </w:pPr>
      <w:r>
        <w:t xml:space="preserve">4. Ethical Considerations and Compliance</w:t>
      </w:r>
    </w:p>
    <w:p>
      <w:pPr>
        <w:pStyle w:val="FirstParagraph"/>
      </w:pPr>
      <w:r>
        <w:t xml:space="preserve">Given the sensitive nature of legal work, this Experiment Protocol strictly adheres to the principles of confidentiality and professional secrecy (secret professionnel), which are sacrosanct for the</w:t>
      </w:r>
      <w:r>
        <w:t xml:space="preserve"> </w:t>
      </w:r>
      <w:r>
        <w:rPr>
          <w:bCs/>
          <w:b/>
        </w:rPr>
        <w:t xml:space="preserve">Lawyer</w:t>
      </w:r>
      <w:r>
        <w:t xml:space="preserve"> </w:t>
      </w:r>
      <w:r>
        <w:t xml:space="preserve">in France.</w:t>
      </w:r>
    </w:p>
    <w:p>
      <w:pPr>
        <w:numPr>
          <w:ilvl w:val="0"/>
          <w:numId w:val="1003"/>
        </w:numPr>
        <w:pStyle w:val="Compact"/>
      </w:pPr>
      <w:r>
        <w:rPr>
          <w:bCs/>
          <w:b/>
        </w:rPr>
        <w:t xml:space="preserve">Anonymity:</w:t>
      </w:r>
      <w:r>
        <w:t xml:space="preserve"> </w:t>
      </w:r>
      <w:r>
        <w:t xml:space="preserve">No client names, case numbers, or identifying details of the</w:t>
      </w:r>
      <w:r>
        <w:t xml:space="preserve"> </w:t>
      </w:r>
      <w:r>
        <w:rPr>
          <w:bCs/>
          <w:b/>
        </w:rPr>
        <w:t xml:space="preserve">Lawyer</w:t>
      </w:r>
      <w:r>
        <w:t xml:space="preserve"> </w:t>
      </w:r>
      <w:r>
        <w:t xml:space="preserve">participants will be published.</w:t>
      </w:r>
    </w:p>
    <w:p>
      <w:pPr>
        <w:numPr>
          <w:ilvl w:val="0"/>
          <w:numId w:val="1003"/>
        </w:numPr>
        <w:pStyle w:val="Compact"/>
      </w:pPr>
      <w:r>
        <w:rPr>
          <w:bCs/>
          <w:b/>
        </w:rPr>
        <w:t xml:space="preserve">Data Protection:</w:t>
      </w:r>
      <w:r>
        <w:t xml:space="preserve"> </w:t>
      </w:r>
      <w:r>
        <w:t xml:space="preserve">All data collected will comply with the General Data Protection Regulation (GDPR) and French data protection laws (CNIL).</w:t>
      </w:r>
    </w:p>
    <w:p>
      <w:pPr>
        <w:numPr>
          <w:ilvl w:val="0"/>
          <w:numId w:val="1003"/>
        </w:numPr>
        <w:pStyle w:val="Compact"/>
      </w:pPr>
      <w:r>
        <w:rPr>
          <w:bCs/>
          <w:b/>
        </w:rPr>
        <w:t xml:space="preserve">Non-Interference:</w:t>
      </w:r>
      <w:r>
        <w:t xml:space="preserve"> </w:t>
      </w:r>
      <w:r>
        <w:t xml:space="preserve">Observers will not interfere with the legal strategy or advice provided by the</w:t>
      </w:r>
      <w:r>
        <w:t xml:space="preserve"> </w:t>
      </w:r>
      <w:r>
        <w:rPr>
          <w:bCs/>
          <w:b/>
        </w:rPr>
        <w:t xml:space="preserve">Lawyer</w:t>
      </w:r>
      <w:r>
        <w:t xml:space="preserve"> </w:t>
      </w:r>
      <w:r>
        <w:t xml:space="preserve">to their clients.</w:t>
      </w:r>
    </w:p>
    <w:bookmarkEnd w:id="29"/>
    <w:bookmarkStart w:id="30" w:name="expected-outcomes"/>
    <w:p>
      <w:pPr>
        <w:pStyle w:val="Heading2"/>
      </w:pPr>
      <w:r>
        <w:t xml:space="preserve">5. Expected Outcomes</w:t>
      </w:r>
    </w:p>
    <w:p>
      <w:pPr>
        <w:pStyle w:val="FirstParagraph"/>
      </w:pPr>
      <w:r>
        <w:t xml:space="preserve">This study aims to produce a detailed report on the modern practice of law in</w:t>
      </w:r>
      <w:r>
        <w:t xml:space="preserve"> </w:t>
      </w:r>
      <w:r>
        <w:rPr>
          <w:bCs/>
          <w:b/>
        </w:rPr>
        <w:t xml:space="preserve">France Paris</w:t>
      </w:r>
      <w:r>
        <w:t xml:space="preserve">. We anticipate identifying specific trends in how the</w:t>
      </w:r>
      <w:r>
        <w:t xml:space="preserve"> </w:t>
      </w:r>
      <w:r>
        <w:rPr>
          <w:bCs/>
          <w:b/>
        </w:rPr>
        <w:t xml:space="preserve">Lawyer</w:t>
      </w:r>
      <w:r>
        <w:t xml:space="preserve"> </w:t>
      </w:r>
      <w:r>
        <w:t xml:space="preserve">adapts to digitalization (e-procédure) within the Parisian court system. Furthermore, the protocol seeks to highlight the unique cultural aspects of the legal profession in the capital, distinguishing the Parisian</w:t>
      </w:r>
      <w:r>
        <w:t xml:space="preserve"> </w:t>
      </w:r>
      <w:r>
        <w:rPr>
          <w:bCs/>
          <w:b/>
        </w:rPr>
        <w:t xml:space="preserve">Lawyer</w:t>
      </w:r>
      <w:r>
        <w:t xml:space="preserve"> </w:t>
      </w:r>
      <w:r>
        <w:t xml:space="preserve">from their counterparts in other regions of France.</w:t>
      </w:r>
    </w:p>
    <w:p>
      <w:pPr>
        <w:pStyle w:val="BodyText"/>
      </w:pPr>
      <w:r>
        <w:t xml:space="preserve">By rigorously following this Experiment Protocol, we will gain a deeper understanding of the mechanisms that uphold justice in one of the world's most significant legal hubs.</w:t>
      </w:r>
    </w:p>
    <w:bookmarkEnd w:id="30"/>
    <w:p>
      <w:pPr>
        <w:pStyle w:val="BodyText"/>
      </w:pPr>
      <w:r>
        <w:t xml:space="preserve">Note: This document is a template for an academic or professional observation protocol. It does not constitute legal advice. Any actual legal proceedings in France Paris must be conducted by a qualified attorney admitted to the local Bar.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France Paris</dc:title>
  <dc:creator/>
  <dc:language>en</dc:language>
  <cp:keywords/>
  <dcterms:created xsi:type="dcterms:W3CDTF">2026-10-10T02:49:04Z</dcterms:created>
  <dcterms:modified xsi:type="dcterms:W3CDTF">2026-10-10T02:49:04Z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