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Simulation</w:t>
      </w:r>
      <w:r>
        <w:t xml:space="preserve"> </w:t>
      </w:r>
      <w:r>
        <w:t xml:space="preserve">in</w:t>
      </w:r>
      <w:r>
        <w:t xml:space="preserve"> </w:t>
      </w:r>
      <w:r>
        <w:t xml:space="preserve">Frankfurt,</w:t>
      </w:r>
      <w:r>
        <w:t xml:space="preserve"> </w:t>
      </w:r>
      <w:r>
        <w:t xml:space="preserve">Germany</w:t>
      </w:r>
    </w:p>
    <w:bookmarkStart w:id="20" w:name="Xb2d242bc916215a53802f765ab57c16c22ab355"/>
    <w:p>
      <w:pPr>
        <w:pStyle w:val="Heading1"/>
      </w:pPr>
      <w:r>
        <w:t xml:space="preserve">Experiment Protocol: Legal Practice Simulation in Frankfurt, Germany</w:t>
      </w:r>
    </w:p>
    <w:p>
      <w:pPr>
        <w:pStyle w:val="FirstParagraph"/>
      </w:pPr>
      <w:r>
        <w:rPr>
          <w:bCs/>
          <w:b/>
        </w:rPr>
        <w:t xml:space="preserve">Protocol ID:</w:t>
      </w:r>
      <w:r>
        <w:t xml:space="preserve"> </w:t>
      </w:r>
      <w:r>
        <w:t xml:space="preserve">FR-LAW-EXP-2024-001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Frankfurt am Main, Germany</w:t>
      </w:r>
    </w:p>
    <w:p>
      <w:pPr>
        <w:pStyle w:val="BodyText"/>
      </w:pPr>
      <w:r>
        <w:rPr>
          <w:bCs/>
          <w:b/>
        </w:rPr>
        <w:t xml:space="preserve">Principal Investigator:</w:t>
      </w:r>
      <w:r>
        <w:t xml:space="preserve"> </w:t>
      </w:r>
      <w:r>
        <w:t xml:space="preserve">[Name Redacted]</w:t>
      </w:r>
    </w:p>
    <w:p>
      <w:pPr>
        <w:pStyle w:val="BodyText"/>
      </w:pPr>
      <w:r>
        <w:rPr>
          <w:bCs/>
          <w:b/>
        </w:rPr>
        <w:t xml:space="preserve">Subject:</w:t>
      </w:r>
      <w:r>
        <w:t xml:space="preserve"> </w:t>
      </w:r>
      <w:r>
        <w:t xml:space="preserve">Evaluation of Legal Advisory Efficiency and Client Interaction Protocols for Lawyers in the Frankfurt Jurisdiction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performance, efficiency, and ethical compliance of legal professionals operating within the jurisdiction of Frankfurt am Main, Germany. As a major financial hub in Europe, Frankfurt presents a unique legal environment characterized by complex commercial law, international arbitration, and strict adherence to German statutory regulations.</w:t>
      </w:r>
    </w:p>
    <w:p>
      <w:pPr>
        <w:pStyle w:val="BodyText"/>
      </w:pPr>
      <w:r>
        <w:t xml:space="preserve">The primary objective of this experiment is to simulate real-world legal scenarios to assess how a Lawyer navigates the specific procedural requirements of the German legal system. The study focuses on the intersection of traditional legal practice and modern efficiency metrics, ensuring that the Lawyer maintains high standards of client confidentiality, accuracy in legal interpretation, and adherence to the rules of professional conduct established by the Frankfurt Bar Association (Frankfurter Rechtsanwaltskammer).</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time efficiency of a Lawyer in drafting legal documents compliant with German law.</w:t>
      </w:r>
    </w:p>
    <w:p>
      <w:pPr>
        <w:numPr>
          <w:ilvl w:val="0"/>
          <w:numId w:val="1001"/>
        </w:numPr>
        <w:pStyle w:val="Compact"/>
      </w:pPr>
      <w:r>
        <w:t xml:space="preserve">To evaluate the accuracy of legal advice provided in simulated scenarios involving commercial disputes in Frankfurt.</w:t>
      </w:r>
    </w:p>
    <w:p>
      <w:pPr>
        <w:numPr>
          <w:ilvl w:val="0"/>
          <w:numId w:val="1001"/>
        </w:numPr>
        <w:pStyle w:val="Compact"/>
      </w:pPr>
      <w:r>
        <w:t xml:space="preserve">To assess the Lawyer's ability to navigate the local court system, specifically the Local Court (Amtsgericht) and Regional Court (Landgericht) of Frankfurt.</w:t>
      </w:r>
    </w:p>
    <w:p>
      <w:pPr>
        <w:numPr>
          <w:ilvl w:val="0"/>
          <w:numId w:val="1001"/>
        </w:numPr>
        <w:pStyle w:val="Compact"/>
      </w:pPr>
      <w:r>
        <w:t xml:space="preserve">To analyze client communication strategies under pressure, ensuring clarity and empathy while maintaining professional boundaries.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utilizes a randomized controlled trial design. Participants, identified as qualified Lawyers licensed to practice in Germany, will be assigned to one of two groups: the Control Group, which follows traditional legal research and drafting methods, and the Experimental Group, which utilizes advanced legal technology tools approved for use in Germany.</w:t>
      </w:r>
    </w:p>
    <w:bookmarkEnd w:id="23"/>
    <w:bookmarkStart w:id="24" w:name="location-and-environment"/>
    <w:p>
      <w:pPr>
        <w:pStyle w:val="Heading3"/>
      </w:pPr>
      <w:r>
        <w:t xml:space="preserve">3.2 Location and Environment</w:t>
      </w:r>
    </w:p>
    <w:p>
      <w:pPr>
        <w:pStyle w:val="FirstParagraph"/>
      </w:pPr>
      <w:r>
        <w:t xml:space="preserve">The experiment will be conducted in a simulated law office environment located in the financial district of Frankfurt am Main. This setting is chosen to replicate the high-pressure atmosphere typical of legal practice in this region. Access to the official legal databases (such as Beck-Online) and the local court registries will be provided to ensure authenticity.</w:t>
      </w:r>
    </w:p>
    <w:bookmarkEnd w:id="24"/>
    <w:bookmarkStart w:id="25" w:name="participants"/>
    <w:p>
      <w:pPr>
        <w:pStyle w:val="Heading3"/>
      </w:pPr>
      <w:r>
        <w:t xml:space="preserve">3.3 Participants</w:t>
      </w:r>
    </w:p>
    <w:p>
      <w:pPr>
        <w:pStyle w:val="FirstParagraph"/>
      </w:pPr>
      <w:r>
        <w:t xml:space="preserve">Participants must hold a valid license to practice law in Germany (Rechtsanwaltszulassung) and have at least three years of experience in commercial or civil law. All participants must provide informed consent and agree to the confidentiality agreements required by the German Federal Data Protection Act (BDSG).</w:t>
      </w:r>
    </w:p>
    <w:bookmarkEnd w:id="25"/>
    <w:bookmarkEnd w:id="26"/>
    <w:bookmarkStart w:id="30" w:name="experimental-procedures"/>
    <w:p>
      <w:pPr>
        <w:pStyle w:val="Heading2"/>
      </w:pPr>
      <w:r>
        <w:t xml:space="preserve">4. Experimental Procedures</w:t>
      </w:r>
    </w:p>
    <w:p>
      <w:pPr>
        <w:pStyle w:val="FirstParagraph"/>
      </w:pPr>
      <w:r>
        <w:t xml:space="preserve">The experiment consists of three distinct phases, each designed to test different competencies of the Lawyer.</w:t>
      </w:r>
    </w:p>
    <w:bookmarkStart w:id="27" w:name="phase-1-legal-research-and-analysis"/>
    <w:p>
      <w:pPr>
        <w:pStyle w:val="Heading3"/>
      </w:pPr>
      <w:r>
        <w:t xml:space="preserve">Phase 1: Legal Research and Analysis</w:t>
      </w:r>
    </w:p>
    <w:p>
      <w:pPr>
        <w:pStyle w:val="FirstParagraph"/>
      </w:pPr>
      <w:r>
        <w:t xml:space="preserve">Participants will be presented with a complex case file involving a cross-border commercial dispute relevant to Frankfurt's financial sector. The Lawyer must identify applicable laws, including the German Civil Code (BGB) and relevant European Union regulations. The time taken to complete the research and the accuracy of the legal citations will be recorded.</w:t>
      </w:r>
    </w:p>
    <w:bookmarkEnd w:id="27"/>
    <w:bookmarkStart w:id="28" w:name="phase-2-document-drafting"/>
    <w:p>
      <w:pPr>
        <w:pStyle w:val="Heading3"/>
      </w:pPr>
      <w:r>
        <w:t xml:space="preserve">Phase 2: Document Drafting</w:t>
      </w:r>
    </w:p>
    <w:p>
      <w:pPr>
        <w:pStyle w:val="FirstParagraph"/>
      </w:pPr>
      <w:r>
        <w:t xml:space="preserve">Based on the research conducted in Phase 1, the Lawyer must draft a formal legal opinion and a complaint to be filed with the Regional Court of Frankfurt. The documents will be evaluated by a panel of senior judges and experienced attorneys for legal soundness, formatting compliance, and clarity.</w:t>
      </w:r>
    </w:p>
    <w:bookmarkEnd w:id="28"/>
    <w:bookmarkStart w:id="29" w:name="phase-3-client-interaction-simulation"/>
    <w:p>
      <w:pPr>
        <w:pStyle w:val="Heading3"/>
      </w:pPr>
      <w:r>
        <w:t xml:space="preserve">Phase 3: Client Interaction Simulation</w:t>
      </w:r>
    </w:p>
    <w:p>
      <w:pPr>
        <w:pStyle w:val="FirstParagraph"/>
      </w:pPr>
      <w:r>
        <w:t xml:space="preserve">Participants will engage in a role-play scenario with a trained actor portraying a distressed client. The Lawyer must demonstrate effective communication skills, manage client expectations, and explain complex legal concepts in plain language. This phase is critical for assessing the human element of legal practice in Germany.</w:t>
      </w:r>
    </w:p>
    <w:bookmarkEnd w:id="29"/>
    <w:bookmarkEnd w:id="30"/>
    <w:bookmarkStart w:id="31" w:name="data-collection-and-analysis"/>
    <w:p>
      <w:pPr>
        <w:pStyle w:val="Heading2"/>
      </w:pPr>
      <w:r>
        <w:t xml:space="preserve">5. Data Collection and Analysis</w:t>
      </w:r>
    </w:p>
    <w:p>
      <w:pPr>
        <w:pStyle w:val="FirstParagraph"/>
      </w:pPr>
      <w:r>
        <w:t xml:space="preserve">Data will be collected through timed assessments, document reviews, and video recordings of client interactions. Quantitative data will include time metrics and accuracy scores, while qualitative data will be derived from expert evaluations of communication skills and ethical judgment. All data will be anonymized to protect participant privacy in accordance with German data protection laws.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Method</w:t>
            </w:r>
          </w:p>
        </w:tc>
        <w:tc>
          <w:tcPr/>
          <w:p>
            <w:pPr>
              <w:pStyle w:val="Compact"/>
              <w:jc w:val="left"/>
            </w:pPr>
            <w:r>
              <w:t xml:space="preserve">Target Outcome</w:t>
            </w:r>
          </w:p>
        </w:tc>
      </w:tr>
      <w:tr>
        <w:tc>
          <w:tcPr/>
          <w:p>
            <w:pPr>
              <w:pStyle w:val="Compact"/>
              <w:jc w:val="left"/>
            </w:pPr>
            <w:r>
              <w:t xml:space="preserve">Research Efficiency</w:t>
            </w:r>
          </w:p>
        </w:tc>
        <w:tc>
          <w:tcPr/>
          <w:p>
            <w:pPr>
              <w:pStyle w:val="Compact"/>
              <w:jc w:val="left"/>
            </w:pPr>
            <w:r>
              <w:t xml:space="preserve">Time tracking software</w:t>
            </w:r>
          </w:p>
        </w:tc>
        <w:tc>
          <w:tcPr/>
          <w:p>
            <w:pPr>
              <w:pStyle w:val="Compact"/>
              <w:jc w:val="left"/>
            </w:pPr>
            <w:r>
              <w:t xml:space="preserve">&lt; 45 minutes per case</w:t>
            </w:r>
          </w:p>
        </w:tc>
      </w:tr>
      <w:tr>
        <w:tc>
          <w:tcPr/>
          <w:p>
            <w:pPr>
              <w:pStyle w:val="Compact"/>
              <w:jc w:val="left"/>
            </w:pPr>
            <w:r>
              <w:t xml:space="preserve">Document Accuracy</w:t>
            </w:r>
          </w:p>
        </w:tc>
        <w:tc>
          <w:tcPr/>
          <w:p>
            <w:pPr>
              <w:pStyle w:val="Compact"/>
              <w:jc w:val="left"/>
            </w:pPr>
            <w:r>
              <w:t xml:space="preserve">Expert panel review</w:t>
            </w:r>
          </w:p>
        </w:tc>
        <w:tc>
          <w:tcPr/>
          <w:p>
            <w:pPr>
              <w:pStyle w:val="Compact"/>
              <w:jc w:val="left"/>
            </w:pPr>
            <w:r>
              <w:t xml:space="preserve">&gt; 90% compliance score</w:t>
            </w:r>
          </w:p>
        </w:tc>
      </w:tr>
      <w:tr>
        <w:tc>
          <w:tcPr/>
          <w:p>
            <w:pPr>
              <w:pStyle w:val="Compact"/>
              <w:jc w:val="left"/>
            </w:pPr>
            <w:r>
              <w:t xml:space="preserve">Client Satisfaction</w:t>
            </w:r>
          </w:p>
        </w:tc>
        <w:tc>
          <w:tcPr/>
          <w:p>
            <w:pPr>
              <w:pStyle w:val="Compact"/>
              <w:jc w:val="left"/>
            </w:pPr>
            <w:r>
              <w:t xml:space="preserve">Post-simulation survey</w:t>
            </w:r>
          </w:p>
        </w:tc>
        <w:tc>
          <w:tcPr/>
          <w:p>
            <w:pPr>
              <w:pStyle w:val="Compact"/>
              <w:jc w:val="left"/>
            </w:pPr>
            <w:r>
              <w:t xml:space="preserve">&gt; 4.5/5 rating</w:t>
            </w:r>
          </w:p>
        </w:tc>
      </w:tr>
    </w:tbl>
    <w:bookmarkEnd w:id="31"/>
    <w:bookmarkStart w:id="32" w:name="ethical-considerations"/>
    <w:p>
      <w:pPr>
        <w:pStyle w:val="Heading2"/>
      </w:pPr>
      <w:r>
        <w:t xml:space="preserve">6. Ethical Considerations</w:t>
      </w:r>
    </w:p>
    <w:p>
      <w:pPr>
        <w:pStyle w:val="FirstParagraph"/>
      </w:pPr>
      <w:r>
        <w:t xml:space="preserve">This experiment adheres to the highest ethical standards. All participants are treated with respect, and their professional reputation is safeguarded. The simulated cases do not involve real clients or sensitive personal data. The study has been reviewed and approved by an independent ethics committee to ensure compliance with German legal and ethical guidelines.</w:t>
      </w:r>
    </w:p>
    <w:bookmarkEnd w:id="32"/>
    <w:bookmarkStart w:id="33" w:name="conclusion"/>
    <w:p>
      <w:pPr>
        <w:pStyle w:val="Heading2"/>
      </w:pPr>
      <w:r>
        <w:t xml:space="preserve">7. Conclusion</w:t>
      </w:r>
    </w:p>
    <w:p>
      <w:pPr>
        <w:pStyle w:val="FirstParagraph"/>
      </w:pPr>
      <w:r>
        <w:t xml:space="preserve">This Experiment Protocol provides a comprehensive framework for evaluating the competencies of Lawyers in the dynamic legal environment of Frankfurt, Germany. By focusing on practical skills, efficiency, and ethical conduct, the study aims to contribute valuable insights to the legal profession and enhance the quality of legal services provided in this important jurisdiction.</w:t>
      </w:r>
    </w:p>
    <w:bookmarkEnd w:id="33"/>
    <w:p>
      <w:pPr>
        <w:pStyle w:val="BodyText"/>
      </w:pPr>
      <w:r>
        <w:rPr>
          <w:bCs/>
          <w:b/>
        </w:rPr>
        <w:t xml:space="preserve">Disclaimer:</w:t>
      </w:r>
      <w:r>
        <w:t xml:space="preserve"> </w:t>
      </w:r>
      <w:r>
        <w:t xml:space="preserve">This document is a simulated Experiment Protocol for educational and illustrative purposes only. It does not constitute legal advice or a binding legal document. All references to laws, regulations, and institutions are for contextual accuracy within the scope of this simulation.</w:t>
      </w:r>
    </w:p>
    <w:p>
      <w:pPr>
        <w:pStyle w:val="BodyText"/>
      </w:pPr>
      <w:r>
        <w:t xml:space="preserve">© 2024 Legal Research Institute Frankfurt.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Simulation in Frankfurt, Germany</dc:title>
  <dc:creator/>
  <dc:language>en</dc:language>
  <cp:keywords/>
  <dcterms:created xsi:type="dcterms:W3CDTF">2026-10-10T03:38:25Z</dcterms:created>
  <dcterms:modified xsi:type="dcterms:W3CDTF">2026-10-10T03:38:25Z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