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Simulation</w:t>
      </w:r>
      <w:r>
        <w:t xml:space="preserve"> </w:t>
      </w:r>
      <w:r>
        <w:t xml:space="preserve">in</w:t>
      </w:r>
      <w:r>
        <w:t xml:space="preserve"> </w:t>
      </w:r>
      <w:r>
        <w:t xml:space="preserve">Munich,</w:t>
      </w:r>
      <w:r>
        <w:t xml:space="preserve"> </w:t>
      </w:r>
      <w:r>
        <w:t xml:space="preserve">Germany</w:t>
      </w:r>
    </w:p>
    <w:bookmarkStart w:id="20" w:name="Xce40ac03792058c9c2117e4e259ae90fd3ff6e6"/>
    <w:p>
      <w:pPr>
        <w:pStyle w:val="Heading1"/>
      </w:pPr>
      <w:r>
        <w:t xml:space="preserve">Experiment Protocol: Legal Practice Simulation in Munich, Germany</w:t>
      </w:r>
    </w:p>
    <w:p>
      <w:pPr>
        <w:pStyle w:val="FirstParagraph"/>
      </w:pPr>
      <w:r>
        <w:rPr>
          <w:bCs/>
          <w:b/>
        </w:rPr>
        <w:t xml:space="preserve">Protocol ID:</w:t>
      </w:r>
      <w:r>
        <w:t xml:space="preserve"> </w:t>
      </w:r>
      <w:r>
        <w:t xml:space="preserve">LMU-LEGAL-EXP-2024-001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Munich, Bavaria, Germany</w:t>
      </w:r>
    </w:p>
    <w:p>
      <w:pPr>
        <w:pStyle w:val="BodyText"/>
      </w:pPr>
      <w:r>
        <w:rPr>
          <w:bCs/>
          <w:b/>
        </w:rPr>
        <w:t xml:space="preserve">Principal Investigator:</w:t>
      </w:r>
      <w:r>
        <w:t xml:space="preserve"> </w:t>
      </w:r>
      <w:r>
        <w:t xml:space="preserve">Dr. Jur. A. Schmidt</w:t>
      </w:r>
    </w:p>
    <w:p>
      <w:pPr>
        <w:pStyle w:val="BodyText"/>
      </w:pPr>
      <w:r>
        <w:rPr>
          <w:bCs/>
          <w:b/>
        </w:rPr>
        <w:t xml:space="preserve">Institution:</w:t>
      </w:r>
      <w:r>
        <w:t xml:space="preserve"> </w:t>
      </w:r>
      <w:r>
        <w:t xml:space="preserve">Ludwig Maximilian University of Munich (LMU), Faculty of Law</w:t>
      </w:r>
    </w:p>
    <w:bookmarkEnd w:id="20"/>
    <w:p>
      <w:pPr>
        <w:pStyle w:val="BodyText"/>
      </w:pPr>
      <w:r>
        <w:t xml:space="preserve">1. Objective and Scope</w:t>
      </w:r>
    </w:p>
    <w:p>
      <w:pPr>
        <w:pStyle w:val="BodyText"/>
      </w:pPr>
      <w:r>
        <w:t xml:space="preserve">The primary objective of this experiment protocol is to evaluate the efficacy of a newly developed AI-assisted legal research tool when utilized by practicing lawyers in Munich, Germany. This study aims to assess how the integration of artificial intelligence impacts the accuracy, speed, and quality of legal advice provided in complex civil litigation cases under German law. The scope of this experiment is strictly limited to the jurisdiction of Munich, focusing on the procedural nuances of the Bavarian State Court of Justice (BayObLG) and the Munich Regional Court (Landgericht München I).</w:t>
      </w:r>
    </w:p>
    <w:p>
      <w:pPr>
        <w:pStyle w:val="BodyText"/>
      </w:pPr>
      <w:r>
        <w:t xml:space="preserve">This protocol outlines the methodology, participant selection, ethical considerations, and data analysis procedures required to conduct this experiment in compliance with German data protection laws, specifically the General Data Protection Regulation (GDPR) and the Federal Data Protection Act (BDSG).</w:t>
      </w:r>
    </w:p>
    <w:p>
      <w:pPr>
        <w:pStyle w:val="BodyText"/>
      </w:pPr>
      <w:r>
        <w:t xml:space="preserve">2. Background and Rationale</w:t>
      </w:r>
    </w:p>
    <w:p>
      <w:pPr>
        <w:pStyle w:val="BodyText"/>
      </w:pPr>
      <w:r>
        <w:t xml:space="preserve">Munich is a major hub for legal practice in Germany, hosting numerous law firms specializing in corporate law, intellectual property, and civil litigation. The legal landscape in Germany is characterized by a civil law system, where statutory law plays a predominant role. Lawyers in Munich must navigate complex codes such as the German Civil Code (BGB) and the Code of Civil Procedure (ZPO).</w:t>
      </w:r>
    </w:p>
    <w:p>
      <w:pPr>
        <w:pStyle w:val="BodyText"/>
      </w:pPr>
      <w:r>
        <w:t xml:space="preserve">Recent advancements in legal technology have prompted a need to understand how these tools interact with the traditional practices of German lawyers. This experiment seeks to determine whether AI tools can enhance the capabilities of lawyers without compromising the rigorous standards expected in the German legal profession.</w:t>
      </w:r>
    </w:p>
    <w:p>
      <w:pPr>
        <w:pStyle w:val="BodyText"/>
      </w:pPr>
      <w:r>
        <w:t xml:space="preserve">3. Participants</w:t>
      </w:r>
    </w:p>
    <w:p>
      <w:pPr>
        <w:pStyle w:val="BodyText"/>
      </w:pPr>
      <w:r>
        <w:t xml:space="preserve">The experiment will involve a sample of 50 licensed lawyers practicing in Munich. Participants will be selected based on the following criteria:</w:t>
      </w:r>
    </w:p>
    <w:p>
      <w:pPr>
        <w:numPr>
          <w:ilvl w:val="0"/>
          <w:numId w:val="1001"/>
        </w:numPr>
        <w:pStyle w:val="Compact"/>
      </w:pPr>
      <w:r>
        <w:t xml:space="preserve">Must be admitted to the Munich Bar Association (Münchner Rechtsanwaltskammer).</w:t>
      </w:r>
    </w:p>
    <w:p>
      <w:pPr>
        <w:numPr>
          <w:ilvl w:val="0"/>
          <w:numId w:val="1001"/>
        </w:numPr>
        <w:pStyle w:val="Compact"/>
      </w:pPr>
      <w:r>
        <w:t xml:space="preserve">Must have at least five years of experience in civil litigation.</w:t>
      </w:r>
    </w:p>
    <w:p>
      <w:pPr>
        <w:numPr>
          <w:ilvl w:val="0"/>
          <w:numId w:val="1001"/>
        </w:numPr>
        <w:pStyle w:val="Compact"/>
      </w:pPr>
      <w:r>
        <w:t xml:space="preserve">Must handle a minimum of ten active cases per month.</w:t>
      </w:r>
    </w:p>
    <w:p>
      <w:pPr>
        <w:pStyle w:val="FirstParagraph"/>
      </w:pPr>
      <w:r>
        <w:t xml:space="preserve">Participants will be divided into two groups: a control group that continues to use traditional legal research methods and an experimental group that utilizes the AI-assisted tool.</w:t>
      </w:r>
    </w:p>
    <w:p>
      <w:pPr>
        <w:pStyle w:val="BodyText"/>
      </w:pPr>
      <w:r>
        <w:t xml:space="preserve">4. Methodology</w:t>
      </w:r>
    </w:p>
    <w:p>
      <w:pPr>
        <w:pStyle w:val="BodyText"/>
      </w:pPr>
      <w:r>
        <w:t xml:space="preserve">The experiment will be conducted over a period of six months. During this time, participants will be required to document their legal research processes, time spent on case preparation, and the outcomes of their legal advice. The following steps outline the methodology:</w:t>
      </w:r>
    </w:p>
    <w:p>
      <w:pPr>
        <w:numPr>
          <w:ilvl w:val="0"/>
          <w:numId w:val="1002"/>
        </w:numPr>
        <w:pStyle w:val="Compact"/>
      </w:pPr>
      <w:r>
        <w:rPr>
          <w:bCs/>
          <w:b/>
        </w:rPr>
        <w:t xml:space="preserve">Training Phase:</w:t>
      </w:r>
      <w:r>
        <w:t xml:space="preserve"> </w:t>
      </w:r>
      <w:r>
        <w:t xml:space="preserve">Participants in the experimental group will undergo a two-day training session on the use of the AI-assisted tool. This training will cover data input, result interpretation, and ethical considerations.</w:t>
      </w:r>
    </w:p>
    <w:p>
      <w:pPr>
        <w:numPr>
          <w:ilvl w:val="0"/>
          <w:numId w:val="1002"/>
        </w:numPr>
        <w:pStyle w:val="Compact"/>
      </w:pPr>
      <w:r>
        <w:rPr>
          <w:bCs/>
          <w:b/>
        </w:rPr>
        <w:t xml:space="preserve">Data Collection:</w:t>
      </w:r>
      <w:r>
        <w:t xml:space="preserve"> </w:t>
      </w:r>
      <w:r>
        <w:t xml:space="preserve">Participants will log their activities using a secure, anonymized platform. Data points include time spent on research, number of sources consulted, and client satisfaction ratings.</w:t>
      </w:r>
    </w:p>
    <w:p>
      <w:pPr>
        <w:numPr>
          <w:ilvl w:val="0"/>
          <w:numId w:val="1002"/>
        </w:numPr>
        <w:pStyle w:val="Compact"/>
      </w:pPr>
      <w:r>
        <w:rPr>
          <w:bCs/>
          <w:b/>
        </w:rPr>
        <w:t xml:space="preserve">Case Selection:</w:t>
      </w:r>
      <w:r>
        <w:t xml:space="preserve"> </w:t>
      </w:r>
      <w:r>
        <w:t xml:space="preserve">Each participant will select three representative cases from their practice to be analyzed during the experiment. These cases must involve complex legal questions requiring extensive research.</w:t>
      </w:r>
    </w:p>
    <w:p>
      <w:pPr>
        <w:numPr>
          <w:ilvl w:val="0"/>
          <w:numId w:val="1002"/>
        </w:numPr>
        <w:pStyle w:val="Compact"/>
      </w:pPr>
      <w:r>
        <w:rPr>
          <w:bCs/>
          <w:b/>
        </w:rPr>
        <w:t xml:space="preserve">Monitoring:</w:t>
      </w:r>
      <w:r>
        <w:t xml:space="preserve"> </w:t>
      </w:r>
      <w:r>
        <w:t xml:space="preserve">The research team will monitor the progress of the experiment through weekly check-ins and monthly reviews of the collected data.</w:t>
      </w:r>
    </w:p>
    <w:p>
      <w:pPr>
        <w:pStyle w:val="FirstParagraph"/>
      </w:pPr>
      <w:r>
        <w:t xml:space="preserve">5. Ethical Considerations</w:t>
      </w:r>
    </w:p>
    <w:p>
      <w:pPr>
        <w:pStyle w:val="BodyText"/>
      </w:pPr>
      <w:r>
        <w:t xml:space="preserve">This experiment adheres to the highest ethical standards, ensuring the protection of participants' rights and the confidentiality of client information.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joining the study. They will be fully informed about the purpose, procedures, risks, and benefits of the experiment.</w:t>
      </w:r>
    </w:p>
    <w:p>
      <w:pPr>
        <w:numPr>
          <w:ilvl w:val="0"/>
          <w:numId w:val="1003"/>
        </w:numPr>
        <w:pStyle w:val="Compact"/>
      </w:pPr>
      <w:r>
        <w:rPr>
          <w:bCs/>
          <w:b/>
        </w:rPr>
        <w:t xml:space="preserve">Data Privacy:</w:t>
      </w:r>
      <w:r>
        <w:t xml:space="preserve"> </w:t>
      </w:r>
      <w:r>
        <w:t xml:space="preserve">All data collected will be anonymized and stored in compliance with GDPR and BDSG regulations. Access to the data will be restricted to the research team.</w:t>
      </w:r>
    </w:p>
    <w:p>
      <w:pPr>
        <w:numPr>
          <w:ilvl w:val="0"/>
          <w:numId w:val="1003"/>
        </w:numPr>
        <w:pStyle w:val="Compact"/>
      </w:pPr>
      <w:r>
        <w:rPr>
          <w:bCs/>
          <w:b/>
        </w:rPr>
        <w:t xml:space="preserve">Confidentiality:</w:t>
      </w:r>
      <w:r>
        <w:t xml:space="preserve"> </w:t>
      </w:r>
      <w:r>
        <w:t xml:space="preserve">Client information will be handled with the utmost confidentiality, in accordance with the professional secrecy obligations of lawyers under the German Federal Lawyers' Act (BRAO).</w:t>
      </w:r>
    </w:p>
    <w:p>
      <w:pPr>
        <w:pStyle w:val="FirstParagraph"/>
      </w:pPr>
      <w:r>
        <w:t xml:space="preserve">6. Data Analysis</w:t>
      </w:r>
    </w:p>
    <w:p>
      <w:pPr>
        <w:pStyle w:val="BodyText"/>
      </w:pPr>
      <w:r>
        <w:t xml:space="preserve">The data collected during the experiment will be analyzed using statistical methods to compare the performance of the control and experimental groups. Key metrics for analysis include:</w:t>
      </w:r>
    </w:p>
    <w:p>
      <w:pPr>
        <w:numPr>
          <w:ilvl w:val="0"/>
          <w:numId w:val="1004"/>
        </w:numPr>
        <w:pStyle w:val="Compact"/>
      </w:pPr>
      <w:r>
        <w:t xml:space="preserve">Time efficiency: Average time spent on legal research per case.</w:t>
      </w:r>
    </w:p>
    <w:p>
      <w:pPr>
        <w:numPr>
          <w:ilvl w:val="0"/>
          <w:numId w:val="1004"/>
        </w:numPr>
        <w:pStyle w:val="Compact"/>
      </w:pPr>
      <w:r>
        <w:t xml:space="preserve">Accuracy: Percentage of legal citations and arguments validated by senior legal experts.</w:t>
      </w:r>
    </w:p>
    <w:p>
      <w:pPr>
        <w:numPr>
          <w:ilvl w:val="0"/>
          <w:numId w:val="1004"/>
        </w:numPr>
        <w:pStyle w:val="Compact"/>
      </w:pPr>
      <w:r>
        <w:t xml:space="preserve">Quality of advice: Client satisfaction ratings and outcomes of legal proceedings.</w:t>
      </w:r>
    </w:p>
    <w:p>
      <w:pPr>
        <w:pStyle w:val="FirstParagraph"/>
      </w:pPr>
      <w:r>
        <w:t xml:space="preserve">The analysis will be conducted using SPSS software, and results will be reported in a comprehensive final report.</w:t>
      </w:r>
    </w:p>
    <w:p>
      <w:pPr>
        <w:pStyle w:val="BodyText"/>
      </w:pPr>
      <w:r>
        <w:t xml:space="preserve">7. Expected Outcomes</w:t>
      </w:r>
    </w:p>
    <w:p>
      <w:pPr>
        <w:pStyle w:val="BodyText"/>
      </w:pPr>
      <w:r>
        <w:t xml:space="preserve">This experiment aims to provide valuable insights into the potential benefits and limitations of AI-assisted legal research tools for lawyers in Munich, Germany. Expected outcomes include:</w:t>
      </w:r>
    </w:p>
    <w:p>
      <w:pPr>
        <w:numPr>
          <w:ilvl w:val="0"/>
          <w:numId w:val="1005"/>
        </w:numPr>
        <w:pStyle w:val="Compact"/>
      </w:pPr>
      <w:r>
        <w:t xml:space="preserve">Identification of improvements in time efficiency and accuracy of legal research.</w:t>
      </w:r>
    </w:p>
    <w:p>
      <w:pPr>
        <w:numPr>
          <w:ilvl w:val="0"/>
          <w:numId w:val="1005"/>
        </w:numPr>
        <w:pStyle w:val="Compact"/>
      </w:pPr>
      <w:r>
        <w:t xml:space="preserve">Understanding of how AI tools can complement traditional legal practices.</w:t>
      </w:r>
    </w:p>
    <w:p>
      <w:pPr>
        <w:numPr>
          <w:ilvl w:val="0"/>
          <w:numId w:val="1005"/>
        </w:numPr>
        <w:pStyle w:val="Compact"/>
      </w:pPr>
      <w:r>
        <w:t xml:space="preserve">Recommendations for the integration of AI tools into legal education and practice in Germany.</w:t>
      </w:r>
    </w:p>
    <w:p>
      <w:pPr>
        <w:pStyle w:val="FirstParagraph"/>
      </w:pPr>
      <w:r>
        <w:t xml:space="preserve">8. Conclusion</w:t>
      </w:r>
    </w:p>
    <w:p>
      <w:pPr>
        <w:pStyle w:val="BodyText"/>
      </w:pPr>
      <w:r>
        <w:t xml:space="preserve">This experiment protocol outlines a rigorous and ethical approach to evaluating the impact of AI-assisted legal research tools on the practice of lawyers in Munich, Germany. By adhering to the principles of scientific inquiry and professional ethics, this study aims to contribute to the ongoing discourse on the role of technology in the legal profession.</w:t>
      </w:r>
    </w:p>
    <w:p>
      <w:pPr>
        <w:pStyle w:val="BodyText"/>
      </w:pPr>
      <w:r>
        <w:rPr>
          <w:bCs/>
          <w:b/>
        </w:rPr>
        <w:t xml:space="preserve">Approval:</w:t>
      </w:r>
      <w:r>
        <w:t xml:space="preserve"> </w:t>
      </w:r>
      <w:r>
        <w:t xml:space="preserve">This protocol has been reviewed and approved by the Ethics Committee of the Ludwig Maximilian University of Munich.</w:t>
      </w:r>
      <w:r>
        <w:br/>
      </w:r>
      <w:r>
        <w:rPr>
          <w:bCs/>
          <w:b/>
        </w:rPr>
        <w:t xml:space="preserve">Contact:</w:t>
      </w:r>
      <w:r>
        <w:t xml:space="preserve"> </w:t>
      </w:r>
      <w:r>
        <w:t xml:space="preserve">For further information, please contact Dr. Jur. A. Schmidt at a.schmidt@law.lmu.de.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Simulation in Munich, Germany</dc:title>
  <dc:creator/>
  <dc:language>en</dc:language>
  <cp:keywords/>
  <dcterms:created xsi:type="dcterms:W3CDTF">2026-10-10T01:11:46Z</dcterms:created>
  <dcterms:modified xsi:type="dcterms:W3CDTF">2026-10-10T01:11:46Z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